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0B" w:rsidRPr="007D3F0B" w:rsidRDefault="007D3F0B" w:rsidP="007D3F0B">
      <w:pPr>
        <w:spacing w:after="0"/>
        <w:jc w:val="center"/>
        <w:rPr>
          <w:rFonts w:asciiTheme="majorHAnsi" w:hAnsiTheme="majorHAnsi" w:cstheme="majorHAnsi"/>
          <w:b/>
          <w:color w:val="000000"/>
          <w:sz w:val="26"/>
          <w:szCs w:val="26"/>
        </w:rPr>
      </w:pPr>
      <w:r w:rsidRPr="007D3F0B">
        <w:rPr>
          <w:rFonts w:asciiTheme="majorHAnsi" w:hAnsiTheme="majorHAnsi" w:cstheme="majorHAnsi"/>
          <w:b/>
          <w:color w:val="000000"/>
          <w:sz w:val="26"/>
          <w:szCs w:val="26"/>
        </w:rPr>
        <w:t xml:space="preserve">PHÁT TRIỂN NĂNG LỰC SINH VIÊN THEO TIÊU CHUẨN ABET </w:t>
      </w:r>
    </w:p>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b/>
          <w:color w:val="000000"/>
          <w:sz w:val="26"/>
          <w:szCs w:val="26"/>
        </w:rPr>
        <w:t>THÔNG QUA DẠY HỌC DỰA VÀO DỰ ÁN VỚI ĐỊNH HƯỚNG CDIO</w:t>
      </w:r>
    </w:p>
    <w:p w:rsidR="00270F95" w:rsidRPr="008930B6" w:rsidRDefault="00270F95" w:rsidP="007D3F0B">
      <w:pPr>
        <w:spacing w:after="0"/>
        <w:ind w:left="1440"/>
        <w:jc w:val="center"/>
        <w:rPr>
          <w:rFonts w:asciiTheme="majorHAnsi" w:hAnsiTheme="majorHAnsi" w:cstheme="majorHAnsi"/>
          <w:b/>
          <w:sz w:val="16"/>
          <w:szCs w:val="16"/>
          <w:lang w:val="fr-FR"/>
        </w:rPr>
      </w:pPr>
    </w:p>
    <w:p w:rsidR="00270F95" w:rsidRPr="007D3F0B" w:rsidRDefault="00270F95" w:rsidP="007D3F0B">
      <w:pPr>
        <w:spacing w:after="0"/>
        <w:ind w:left="1440"/>
        <w:jc w:val="right"/>
        <w:rPr>
          <w:rFonts w:asciiTheme="majorHAnsi" w:hAnsiTheme="majorHAnsi" w:cstheme="majorHAnsi"/>
          <w:b/>
          <w:i/>
          <w:sz w:val="26"/>
          <w:szCs w:val="26"/>
          <w:vertAlign w:val="superscript"/>
          <w:lang w:val="fr-FR"/>
        </w:rPr>
      </w:pPr>
      <w:r w:rsidRPr="007D3F0B">
        <w:rPr>
          <w:rFonts w:asciiTheme="majorHAnsi" w:hAnsiTheme="majorHAnsi" w:cstheme="majorHAnsi"/>
          <w:b/>
          <w:i/>
          <w:sz w:val="26"/>
          <w:szCs w:val="26"/>
          <w:lang w:val="fr-FR"/>
        </w:rPr>
        <w:t>ThS. Nguyễn Ngọc Trang</w:t>
      </w:r>
    </w:p>
    <w:p w:rsidR="00270F95" w:rsidRPr="007D3F0B" w:rsidRDefault="009D5D69" w:rsidP="007D3F0B">
      <w:pPr>
        <w:spacing w:after="0"/>
        <w:ind w:left="1440"/>
        <w:jc w:val="right"/>
        <w:rPr>
          <w:rFonts w:asciiTheme="majorHAnsi" w:hAnsiTheme="majorHAnsi" w:cstheme="majorHAnsi"/>
          <w:b/>
          <w:i/>
          <w:sz w:val="26"/>
          <w:szCs w:val="26"/>
          <w:lang w:val="fr-FR"/>
        </w:rPr>
      </w:pPr>
      <w:r w:rsidRPr="007D3F0B">
        <w:rPr>
          <w:rFonts w:asciiTheme="majorHAnsi" w:hAnsiTheme="majorHAnsi" w:cstheme="majorHAnsi"/>
          <w:b/>
          <w:i/>
          <w:sz w:val="26"/>
          <w:szCs w:val="26"/>
          <w:lang w:val="fr-FR"/>
        </w:rPr>
        <w:t xml:space="preserve">Trưởng phòng - </w:t>
      </w:r>
      <w:r w:rsidR="00270F95" w:rsidRPr="007D3F0B">
        <w:rPr>
          <w:rFonts w:asciiTheme="majorHAnsi" w:hAnsiTheme="majorHAnsi" w:cstheme="majorHAnsi"/>
          <w:b/>
          <w:i/>
          <w:sz w:val="26"/>
          <w:szCs w:val="26"/>
          <w:lang w:val="fr-FR"/>
        </w:rPr>
        <w:t xml:space="preserve">Phòng Quản lý Khoa học </w:t>
      </w:r>
      <w:r w:rsidR="00570D48" w:rsidRPr="007D3F0B">
        <w:rPr>
          <w:rFonts w:asciiTheme="majorHAnsi" w:hAnsiTheme="majorHAnsi" w:cstheme="majorHAnsi"/>
          <w:b/>
          <w:i/>
          <w:sz w:val="26"/>
          <w:szCs w:val="26"/>
          <w:lang w:val="fr-FR"/>
        </w:rPr>
        <w:t>-</w:t>
      </w:r>
      <w:r w:rsidR="00270F95" w:rsidRPr="007D3F0B">
        <w:rPr>
          <w:rFonts w:asciiTheme="majorHAnsi" w:hAnsiTheme="majorHAnsi" w:cstheme="majorHAnsi"/>
          <w:b/>
          <w:i/>
          <w:sz w:val="26"/>
          <w:szCs w:val="26"/>
          <w:lang w:val="fr-FR"/>
        </w:rPr>
        <w:t xml:space="preserve"> Hợp tác quốc tế</w:t>
      </w:r>
    </w:p>
    <w:p w:rsidR="007D3F0B" w:rsidRPr="007D3F0B" w:rsidRDefault="007D3F0B" w:rsidP="007D3F0B">
      <w:pPr>
        <w:spacing w:after="0"/>
        <w:jc w:val="center"/>
        <w:rPr>
          <w:rFonts w:asciiTheme="majorHAnsi" w:hAnsiTheme="majorHAnsi" w:cstheme="majorHAnsi"/>
          <w:b/>
          <w:sz w:val="26"/>
          <w:szCs w:val="26"/>
        </w:rPr>
      </w:pPr>
    </w:p>
    <w:p w:rsidR="007D3F0B" w:rsidRPr="007D3F0B" w:rsidRDefault="007D3F0B" w:rsidP="007D3F0B">
      <w:pPr>
        <w:numPr>
          <w:ilvl w:val="0"/>
          <w:numId w:val="40"/>
        </w:numPr>
        <w:spacing w:after="0"/>
        <w:rPr>
          <w:rFonts w:asciiTheme="majorHAnsi" w:hAnsiTheme="majorHAnsi" w:cstheme="majorHAnsi"/>
          <w:b/>
          <w:sz w:val="26"/>
          <w:szCs w:val="26"/>
        </w:rPr>
      </w:pPr>
      <w:r w:rsidRPr="007D3F0B">
        <w:rPr>
          <w:rFonts w:asciiTheme="majorHAnsi" w:hAnsiTheme="majorHAnsi" w:cstheme="majorHAnsi"/>
          <w:b/>
          <w:sz w:val="26"/>
          <w:szCs w:val="26"/>
        </w:rPr>
        <w:t>Đặt vấn đề</w:t>
      </w:r>
    </w:p>
    <w:p w:rsidR="007D3F0B" w:rsidRPr="007D3F0B" w:rsidRDefault="007D3F0B" w:rsidP="007D3F0B">
      <w:pPr>
        <w:spacing w:after="0"/>
        <w:ind w:firstLine="360"/>
        <w:jc w:val="both"/>
        <w:rPr>
          <w:rFonts w:asciiTheme="majorHAnsi" w:hAnsiTheme="majorHAnsi" w:cstheme="majorHAnsi"/>
          <w:b/>
          <w:sz w:val="26"/>
          <w:szCs w:val="26"/>
        </w:rPr>
      </w:pPr>
      <w:r w:rsidRPr="007D3F0B">
        <w:rPr>
          <w:rFonts w:asciiTheme="majorHAnsi" w:hAnsiTheme="majorHAnsi" w:cstheme="majorHAnsi"/>
          <w:sz w:val="26"/>
          <w:szCs w:val="26"/>
        </w:rPr>
        <w:t>Dạy học dựa vào dự án (Project-based Learning) là hình thức dạy học đang được các nhà nghiên cứu giáo dục trên thế giới quan tâm nghiên cứu và phát triển nhằm đáp ứng yêu cầu nguồn nhân lực trong thế kỷ 21.  Đặc biệt trong bối cảnh hội nhập quốc tế, các vấn đề đào tạo với mục tiêu phát triển năng lực người học, chuẩn năng lực của sinh viên kỹ thuật theo tiêu chuẩn ABET (Accreditation Board for Engineering and Technology - Hội đồng kiểm định các chương trình đào tạo khối kỹ thuật và công nghệ) và tiến trình tổ chức hình thức dạy học dựa vào dự án trong chương trình đào tạo theo hướng tiếp cận CDIO (Conceive Design Implement Operate) nên tiến hành nghiên cứu để làm cơ sở đề xuất giải pháp nâng cao chất lượng đào tạo của Trường Cao đẳng Kỹ thuật Lý Tự Trọng thành phố Hồ Chí Minh theo định hướng đổi mới căn bản giáo dục và đào tạo, đáp ứng yêu cầu xã hội và hội nhập quốc tế.</w:t>
      </w:r>
    </w:p>
    <w:p w:rsidR="007D3F0B" w:rsidRPr="007D3F0B" w:rsidRDefault="007D3F0B" w:rsidP="007D3F0B">
      <w:pPr>
        <w:numPr>
          <w:ilvl w:val="0"/>
          <w:numId w:val="40"/>
        </w:numPr>
        <w:tabs>
          <w:tab w:val="left" w:pos="180"/>
          <w:tab w:val="left" w:pos="360"/>
        </w:tabs>
        <w:spacing w:after="0"/>
        <w:ind w:left="0" w:firstLine="0"/>
        <w:rPr>
          <w:rFonts w:asciiTheme="majorHAnsi" w:hAnsiTheme="majorHAnsi" w:cstheme="majorHAnsi"/>
          <w:sz w:val="26"/>
          <w:szCs w:val="26"/>
        </w:rPr>
      </w:pPr>
      <w:r w:rsidRPr="007D3F0B">
        <w:rPr>
          <w:rFonts w:asciiTheme="majorHAnsi" w:hAnsiTheme="majorHAnsi" w:cstheme="majorHAnsi"/>
          <w:b/>
          <w:sz w:val="26"/>
          <w:szCs w:val="26"/>
        </w:rPr>
        <w:t xml:space="preserve">Giáo dục và đào tạo với mục tiêu phát triển năng lực người học ở các nước trên thế </w:t>
      </w:r>
      <w:r w:rsidRPr="007D3F0B">
        <w:rPr>
          <w:rFonts w:asciiTheme="majorHAnsi" w:hAnsiTheme="majorHAnsi" w:cstheme="majorHAnsi"/>
          <w:sz w:val="26"/>
          <w:szCs w:val="26"/>
        </w:rPr>
        <w:t>giới</w:t>
      </w:r>
    </w:p>
    <w:p w:rsidR="007D3F0B" w:rsidRPr="007D3F0B" w:rsidRDefault="007D3F0B" w:rsidP="007D3F0B">
      <w:pPr>
        <w:numPr>
          <w:ilvl w:val="1"/>
          <w:numId w:val="40"/>
        </w:numPr>
        <w:spacing w:after="0"/>
        <w:ind w:left="450" w:hanging="450"/>
        <w:jc w:val="both"/>
        <w:rPr>
          <w:rFonts w:asciiTheme="majorHAnsi" w:hAnsiTheme="majorHAnsi" w:cstheme="majorHAnsi"/>
          <w:b/>
          <w:i/>
          <w:sz w:val="26"/>
          <w:szCs w:val="26"/>
        </w:rPr>
      </w:pPr>
      <w:r w:rsidRPr="007D3F0B">
        <w:rPr>
          <w:rFonts w:asciiTheme="majorHAnsi" w:hAnsiTheme="majorHAnsi" w:cstheme="majorHAnsi"/>
          <w:b/>
          <w:i/>
          <w:sz w:val="26"/>
          <w:szCs w:val="26"/>
        </w:rPr>
        <w:t>Những đặc trưng của đào tạo nhằm phát triển năng lực người học</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Khi tổng kết các lý thuyết về  tiếp cận phát triển năng lực người học trong giáo dục, đào tạo và phát triển, Paprock (1996) đã chỉ ra năm đặc tính cơ bản sau</w:t>
      </w:r>
    </w:p>
    <w:p w:rsidR="007D3F0B" w:rsidRPr="007D3F0B" w:rsidRDefault="007D3F0B" w:rsidP="007D3F0B">
      <w:pPr>
        <w:numPr>
          <w:ilvl w:val="0"/>
          <w:numId w:val="38"/>
        </w:numPr>
        <w:spacing w:after="0"/>
        <w:jc w:val="both"/>
        <w:rPr>
          <w:rFonts w:asciiTheme="majorHAnsi" w:hAnsiTheme="majorHAnsi" w:cstheme="majorHAnsi"/>
          <w:sz w:val="26"/>
          <w:szCs w:val="26"/>
        </w:rPr>
      </w:pPr>
      <w:r w:rsidRPr="007D3F0B">
        <w:rPr>
          <w:rFonts w:asciiTheme="majorHAnsi" w:hAnsiTheme="majorHAnsi" w:cstheme="majorHAnsi"/>
          <w:sz w:val="26"/>
          <w:szCs w:val="26"/>
        </w:rPr>
        <w:t>Tiếp cận năng lực dựa trên triết lý người học là trung tâm.,</w:t>
      </w:r>
    </w:p>
    <w:p w:rsidR="007D3F0B" w:rsidRPr="007D3F0B" w:rsidRDefault="007D3F0B" w:rsidP="007D3F0B">
      <w:pPr>
        <w:numPr>
          <w:ilvl w:val="0"/>
          <w:numId w:val="38"/>
        </w:numPr>
        <w:spacing w:after="0"/>
        <w:jc w:val="both"/>
        <w:rPr>
          <w:rFonts w:asciiTheme="majorHAnsi" w:hAnsiTheme="majorHAnsi" w:cstheme="majorHAnsi"/>
          <w:sz w:val="26"/>
          <w:szCs w:val="26"/>
        </w:rPr>
      </w:pPr>
      <w:r w:rsidRPr="007D3F0B">
        <w:rPr>
          <w:rFonts w:asciiTheme="majorHAnsi" w:hAnsiTheme="majorHAnsi" w:cstheme="majorHAnsi"/>
          <w:sz w:val="26"/>
          <w:szCs w:val="26"/>
        </w:rPr>
        <w:t>Tiếp cận năng lực thực hiện việc đáp ứng các đòi hỏi của chính sách.</w:t>
      </w:r>
    </w:p>
    <w:p w:rsidR="007D3F0B" w:rsidRPr="007D3F0B" w:rsidRDefault="007D3F0B" w:rsidP="007D3F0B">
      <w:pPr>
        <w:numPr>
          <w:ilvl w:val="0"/>
          <w:numId w:val="38"/>
        </w:numPr>
        <w:spacing w:after="0"/>
        <w:jc w:val="both"/>
        <w:rPr>
          <w:rFonts w:asciiTheme="majorHAnsi" w:hAnsiTheme="majorHAnsi" w:cstheme="majorHAnsi"/>
          <w:sz w:val="26"/>
          <w:szCs w:val="26"/>
        </w:rPr>
      </w:pPr>
      <w:r w:rsidRPr="007D3F0B">
        <w:rPr>
          <w:rFonts w:asciiTheme="majorHAnsi" w:hAnsiTheme="majorHAnsi" w:cstheme="majorHAnsi"/>
          <w:sz w:val="26"/>
          <w:szCs w:val="26"/>
        </w:rPr>
        <w:t>Tiếp cận năng lực là định hướng cuộc sống thật.</w:t>
      </w:r>
    </w:p>
    <w:p w:rsidR="007D3F0B" w:rsidRPr="007D3F0B" w:rsidRDefault="007D3F0B" w:rsidP="007D3F0B">
      <w:pPr>
        <w:numPr>
          <w:ilvl w:val="0"/>
          <w:numId w:val="38"/>
        </w:numPr>
        <w:spacing w:after="0"/>
        <w:jc w:val="both"/>
        <w:rPr>
          <w:rFonts w:asciiTheme="majorHAnsi" w:hAnsiTheme="majorHAnsi" w:cstheme="majorHAnsi"/>
          <w:sz w:val="26"/>
          <w:szCs w:val="26"/>
        </w:rPr>
      </w:pPr>
      <w:r w:rsidRPr="007D3F0B">
        <w:rPr>
          <w:rFonts w:asciiTheme="majorHAnsi" w:hAnsiTheme="majorHAnsi" w:cstheme="majorHAnsi"/>
          <w:sz w:val="26"/>
          <w:szCs w:val="26"/>
        </w:rPr>
        <w:t>Tiếp cận năng lực là rất linh hoạt và năng động,</w:t>
      </w:r>
    </w:p>
    <w:p w:rsidR="007D3F0B" w:rsidRPr="007D3F0B" w:rsidRDefault="007D3F0B" w:rsidP="007D3F0B">
      <w:pPr>
        <w:numPr>
          <w:ilvl w:val="0"/>
          <w:numId w:val="38"/>
        </w:numPr>
        <w:spacing w:after="0"/>
        <w:jc w:val="both"/>
        <w:rPr>
          <w:rFonts w:asciiTheme="majorHAnsi" w:hAnsiTheme="majorHAnsi" w:cstheme="majorHAnsi"/>
          <w:b/>
          <w:sz w:val="26"/>
          <w:szCs w:val="26"/>
        </w:rPr>
      </w:pPr>
      <w:r w:rsidRPr="007D3F0B">
        <w:rPr>
          <w:rFonts w:asciiTheme="majorHAnsi" w:hAnsiTheme="majorHAnsi" w:cstheme="majorHAnsi"/>
          <w:sz w:val="26"/>
          <w:szCs w:val="26"/>
        </w:rPr>
        <w:t>Những tiêu chuẩn của năng lực được hình thành một cách rõ ràng.</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Những đặc tính cơ bản này dẫn tới những ưu điểm của dạy học dựa trên năng lực như là (Paprock, 1996; McLagan, 1997; Kerka, 2001): (1) Tiếp cận năng lực cho phép cá nhân hóa việc học: trên cơ sở mô hình năng lực, người học sẽ bổ sung những thiếu hụt của cá nhân để thực hiện những nhiệm vụ cụ thể của mình. (2) Tiếp cận năng lực chú trọng vào kết quả (outcomes) đầu ra. (3)Tiếp cận năng lực tạo ra những linh hoạt trong việc đạt tới những kết quả đầu ra: theo những cách thức riêng phù hợp với đặc điểm và hoàn cảnh của cá nhân. (4) Hơn nữa, tiếp cận năng lực còn tạo khả năng cho việc xác định một cách rõ ràng những gì cần đạt được và những tiêu chuẩn cho việc đo lường các thành quả. Việc chú trọng vào kết quả đầu ra và những tiêu chuẩn đo lường khách quan của những năng lực cần thiết để tạo ra các kết quả này là điểm được các nhà hoạch định chính sách giáo dục, đào tạo và phát triển nguồn nhân lực đặc biệt quan tâm nhấn mạnh. </w:t>
      </w:r>
    </w:p>
    <w:p w:rsidR="007D3F0B" w:rsidRDefault="007D3F0B" w:rsidP="007D3F0B">
      <w:pPr>
        <w:spacing w:after="0"/>
        <w:ind w:firstLine="540"/>
        <w:jc w:val="both"/>
        <w:rPr>
          <w:rFonts w:asciiTheme="majorHAnsi" w:hAnsiTheme="majorHAnsi" w:cstheme="majorHAnsi"/>
          <w:sz w:val="26"/>
          <w:szCs w:val="26"/>
        </w:rPr>
      </w:pPr>
      <w:r w:rsidRPr="007D3F0B">
        <w:rPr>
          <w:rFonts w:asciiTheme="majorHAnsi" w:hAnsiTheme="majorHAnsi" w:cstheme="majorHAnsi"/>
          <w:sz w:val="26"/>
          <w:szCs w:val="26"/>
        </w:rPr>
        <w:t xml:space="preserve">Do những đặc tính và ưu điểm của tiếp cận dựa trên năng lực, các mô hình năng lực và những năng lực được xác định đã và đang được xây dựng, phát triển, và sử dụng như là những công cụ cho việc phát triển rất nhiều chương trình giáo dục, đào tạo và phát triển khác nhau trên toàn thế giới (Paprock, 1996). </w:t>
      </w:r>
    </w:p>
    <w:p w:rsidR="00FD5999" w:rsidRPr="007D3F0B" w:rsidRDefault="00FD5999" w:rsidP="007D3F0B">
      <w:pPr>
        <w:spacing w:after="0"/>
        <w:ind w:firstLine="540"/>
        <w:jc w:val="both"/>
        <w:rPr>
          <w:rFonts w:asciiTheme="majorHAnsi" w:hAnsiTheme="majorHAnsi" w:cstheme="majorHAnsi"/>
          <w:b/>
          <w:sz w:val="26"/>
          <w:szCs w:val="26"/>
        </w:rPr>
      </w:pPr>
    </w:p>
    <w:p w:rsidR="007D3F0B" w:rsidRPr="007D3F0B" w:rsidRDefault="007D3F0B" w:rsidP="007D3F0B">
      <w:pPr>
        <w:numPr>
          <w:ilvl w:val="1"/>
          <w:numId w:val="40"/>
        </w:numPr>
        <w:spacing w:after="0"/>
        <w:ind w:left="540" w:hanging="540"/>
        <w:rPr>
          <w:rFonts w:asciiTheme="majorHAnsi" w:hAnsiTheme="majorHAnsi" w:cstheme="majorHAnsi"/>
          <w:b/>
          <w:i/>
          <w:sz w:val="26"/>
          <w:szCs w:val="26"/>
        </w:rPr>
      </w:pPr>
      <w:r w:rsidRPr="007D3F0B">
        <w:rPr>
          <w:rFonts w:asciiTheme="majorHAnsi" w:hAnsiTheme="majorHAnsi" w:cstheme="majorHAnsi"/>
          <w:b/>
          <w:i/>
          <w:sz w:val="26"/>
          <w:szCs w:val="26"/>
        </w:rPr>
        <w:lastRenderedPageBreak/>
        <w:t>Mô hình năng lực theo yêu cầu về nguồn nhân lực của xã hội</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Chủ đề chính của phát triển nguồn nhân lực được rất phổ biến trên toàn thế giới là “Học tập và nâng cao hiệu quả thực hiện nhiệm vụ” (Weinberger 1998 trang 78).  Dạy học theo định hướng phát triển năng lực được hình thành và phát triển rộng khắp tại Mỹ vào những năm 1970 và bùng nổ trong phong trào đào tạo và giáo dục các nhà giáo dục và đào tạo nghề dựa trên năng lực trong những năm 1990 với hàng loạt các tổ chức có tầm cỡ quốc gia ở Mỹ, Anh, Úc, New Zealand, xứ Wales, v.v... (Kerka, 2001). Các tiêu chuẩn năng lực được thúc đẩy và khuyến khích bởi những áp lực chính trị như là cách thức để chuẩn bị lực lượng lao động cho nền kinh tế cạnh tranh toàn cầu. Sở dĩ có sự phát triển mạnh mẽ này là do rất nhiều học giả và các nhà thực hành phát triển nguồn nhân lực xem tiếp cận này là cách thức có ảnh hưởng, được ủng hộ mạnh mẽ nhất (Jones &amp; Moore, 1995) để cân bằng giáo dục, đào tạo và những đòi hỏi tại nơi làm việc (Harris et al, 1995), và là “cách thức để chuẩn bị lực lượng lao động cho một nền kinh tế cạnh tranh toàn cầu” (Kerka, 2001, trang 1), và “một câu trả lời mạnh mẽ đối với các vấn đề mà các tổ chức và cá nhân đang phải đối mặt trong thế kỷ thứ 21 (McLagan, 1997, trang 46). Rothwell và Lindhoolm (1999) viết: Những nghiên cứu về giáo dục, đào tạo dựa trên năng lực ngày càng gia tăng, người chuyên làm công tác đào tạo và phát triển nguồn nhân lực đang sử dụng mô hình năng lực để xác định một cách rõ ràng những năng lực cụ thể của từng tổ chức để nâng cao chất lượng và hiệu quả của việc thực hiện nhiệm vụ và thống nhất các khả năng của cá nhân với các năng lực cốt lõi của tổ chức. Các nhà giáo dục và các nhà hoạch định chính sách đang sử dụng các mô hình năng lực như là những phương tiện để xác định một cách rõ ràng và để gắn kết những đòi hỏi của thực tiễn với các chương trình giáo dục và đào tạo.</w:t>
      </w:r>
    </w:p>
    <w:p w:rsidR="007D3F0B" w:rsidRPr="007D3F0B" w:rsidRDefault="007D3F0B" w:rsidP="007D3F0B">
      <w:pPr>
        <w:spacing w:after="0"/>
        <w:ind w:left="-90" w:firstLine="540"/>
        <w:jc w:val="both"/>
        <w:rPr>
          <w:rFonts w:asciiTheme="majorHAnsi" w:hAnsiTheme="majorHAnsi" w:cstheme="majorHAnsi"/>
          <w:b/>
          <w:sz w:val="26"/>
          <w:szCs w:val="26"/>
        </w:rPr>
      </w:pPr>
      <w:r w:rsidRPr="007D3F0B">
        <w:rPr>
          <w:rFonts w:asciiTheme="majorHAnsi" w:hAnsiTheme="majorHAnsi" w:cstheme="majorHAnsi"/>
          <w:color w:val="000000"/>
          <w:sz w:val="26"/>
          <w:szCs w:val="26"/>
        </w:rPr>
        <w:t xml:space="preserve">Các nhà nghiên cứu trên thế giới đã sử dụng những mô hình năng lực khác nhau như: </w:t>
      </w:r>
    </w:p>
    <w:p w:rsidR="007D3F0B" w:rsidRPr="007D3F0B" w:rsidRDefault="007D3F0B" w:rsidP="007D3F0B">
      <w:pPr>
        <w:spacing w:after="0"/>
        <w:ind w:left="-90" w:firstLine="720"/>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(1) Mô hình dựa trên cơ sở tính cách và hành vi cá nhân của cá nhân theo đuổi cách xác định “con người cần phải như thế nào để thực hiện được các vai trò của mình”; </w:t>
      </w:r>
    </w:p>
    <w:p w:rsidR="007D3F0B" w:rsidRPr="007D3F0B" w:rsidRDefault="007D3F0B" w:rsidP="007D3F0B">
      <w:pPr>
        <w:spacing w:after="0"/>
        <w:ind w:left="-90" w:firstLine="720"/>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(2) Mô hình dựa trên cơ sở các kiến thức hiểu biết và các kỹ năng được đòi hỏi theo đuổi việc xác định “con người cần phải có những kiến thức và kỹ năng gì” để thực hiện tốt vai trò của mình; </w:t>
      </w:r>
    </w:p>
    <w:p w:rsidR="007D3F0B" w:rsidRPr="007D3F0B" w:rsidRDefault="007D3F0B" w:rsidP="007D3F0B">
      <w:pPr>
        <w:spacing w:after="0"/>
        <w:ind w:left="-90" w:firstLine="720"/>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(3) Mô hình dựa trên các kết quả và tiêu chuẩn đầu ra theo đuổi việc xác định con người “cần phải đạt được những gì ở nơi làm việc”. </w:t>
      </w:r>
    </w:p>
    <w:p w:rsidR="007D3F0B" w:rsidRPr="007D3F0B" w:rsidRDefault="007D3F0B" w:rsidP="007D3F0B">
      <w:pPr>
        <w:numPr>
          <w:ilvl w:val="1"/>
          <w:numId w:val="40"/>
        </w:numPr>
        <w:spacing w:after="0"/>
        <w:ind w:left="540" w:hanging="540"/>
        <w:rPr>
          <w:rFonts w:asciiTheme="majorHAnsi" w:hAnsiTheme="majorHAnsi" w:cstheme="majorHAnsi"/>
          <w:sz w:val="26"/>
          <w:szCs w:val="26"/>
        </w:rPr>
      </w:pPr>
      <w:r w:rsidRPr="007D3F0B">
        <w:rPr>
          <w:rFonts w:asciiTheme="majorHAnsi" w:hAnsiTheme="majorHAnsi" w:cstheme="majorHAnsi"/>
          <w:b/>
          <w:i/>
          <w:sz w:val="26"/>
          <w:szCs w:val="26"/>
        </w:rPr>
        <w:t>Năng lực của sinh viên khối ngành kỹ thuật trình độ cao</w:t>
      </w:r>
      <w:r w:rsidRPr="007D3F0B">
        <w:rPr>
          <w:rFonts w:asciiTheme="majorHAnsi" w:hAnsiTheme="majorHAnsi" w:cstheme="majorHAnsi"/>
          <w:sz w:val="26"/>
          <w:szCs w:val="26"/>
        </w:rPr>
        <w:t xml:space="preserve"> </w:t>
      </w:r>
      <w:r w:rsidRPr="007D3F0B">
        <w:rPr>
          <w:rFonts w:asciiTheme="majorHAnsi" w:hAnsiTheme="majorHAnsi" w:cstheme="majorHAnsi"/>
          <w:b/>
          <w:i/>
          <w:sz w:val="26"/>
          <w:szCs w:val="26"/>
        </w:rPr>
        <w:t xml:space="preserve">đẳng </w:t>
      </w:r>
    </w:p>
    <w:p w:rsidR="007D3F0B" w:rsidRPr="007D3F0B" w:rsidRDefault="007D3F0B" w:rsidP="007D3F0B">
      <w:pPr>
        <w:spacing w:after="0"/>
        <w:ind w:firstLine="54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Trong chương trình đào tạo sinh viên khối ngành kỹ thuật trình độ cao đẳng,  năng lực có ý nghĩa như sau: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Thứ nhất, năng lực quyết định mục tiêu và chuẩn đầu ra của chương trình;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Thứ hai, nội dung học tập và hoạt động học tập về cơ bản được liên kết với nhau nhằm hình thành năng lực nghề nghiệp cho sinh viên;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Thứ ba, mức độ phát triển năng lực có thể được xác định trong các tiêu chuẩn nghề;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Thứ tư, năng lực là sự kết nối kiến thức, kỹ năng và thái độ của người học;</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Thứ năm, mục tiêu hình thành năng lực định hướng cho việc lựa chọn hình thức và phương pháp dạy học;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 xml:space="preserve">Thứ sáu, năng lực gắn kết với khả năng giải quyết vấn đề trong thực tế của sinh viên; </w:t>
      </w:r>
    </w:p>
    <w:p w:rsidR="007D3F0B" w:rsidRPr="007D3F0B" w:rsidRDefault="007D3F0B" w:rsidP="007D3F0B">
      <w:pPr>
        <w:spacing w:after="0"/>
        <w:ind w:firstLine="90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lastRenderedPageBreak/>
        <w:t>Thứ bảy, năng lực chung cùng với năng lực chuyên môn tạo thành nền tảng chung cho giáo dục và đào tạo.</w:t>
      </w:r>
    </w:p>
    <w:p w:rsidR="007D3F0B" w:rsidRPr="007D3F0B" w:rsidRDefault="007D3F0B" w:rsidP="007D3F0B">
      <w:pPr>
        <w:spacing w:after="0"/>
        <w:ind w:firstLine="540"/>
        <w:jc w:val="both"/>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Đào tạo với mục tiêu  phát triển năng lực không chỉ nhằm mục tiêu phát triển năng lực chuyên môn bao gồm tri thức, kỹ năng chuyên môn mà còn phát triển năng lực phương pháp, năng lực xã hội và năng lực cá thể. Những năng lực này không tách rời nhau mà có mối quan hệ chặt chẽ. Năng lực hành động được hình thành trên cơ sở có sự kết hợp các năng lực này.</w:t>
      </w:r>
    </w:p>
    <w:p w:rsidR="007D3F0B" w:rsidRPr="007D3F0B" w:rsidRDefault="007D3F0B" w:rsidP="007D3F0B">
      <w:pPr>
        <w:spacing w:after="0"/>
        <w:ind w:left="567" w:firstLine="567"/>
        <w:rPr>
          <w:rFonts w:asciiTheme="majorHAnsi" w:hAnsiTheme="majorHAnsi" w:cstheme="majorHAnsi"/>
          <w:b/>
          <w:color w:val="000000"/>
          <w:sz w:val="26"/>
          <w:szCs w:val="26"/>
          <w:lang w:val="pt-BR"/>
        </w:rPr>
      </w:pPr>
    </w:p>
    <w:tbl>
      <w:tblPr>
        <w:tblW w:w="4630"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1"/>
        <w:gridCol w:w="5095"/>
        <w:gridCol w:w="1956"/>
      </w:tblGrid>
      <w:tr w:rsidR="007D3F0B" w:rsidRPr="007D3F0B" w:rsidTr="00B641BA">
        <w:tc>
          <w:tcPr>
            <w:tcW w:w="1088" w:type="pct"/>
            <w:vAlign w:val="center"/>
          </w:tcPr>
          <w:p w:rsidR="007D3F0B" w:rsidRPr="007D3F0B" w:rsidRDefault="007D3F0B" w:rsidP="007D3F0B">
            <w:pPr>
              <w:spacing w:after="0"/>
              <w:jc w:val="center"/>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Mục tiêu</w:t>
            </w:r>
          </w:p>
        </w:tc>
        <w:tc>
          <w:tcPr>
            <w:tcW w:w="2827" w:type="pct"/>
            <w:vAlign w:val="center"/>
          </w:tcPr>
          <w:p w:rsidR="007D3F0B" w:rsidRPr="007D3F0B" w:rsidRDefault="007D3F0B" w:rsidP="007D3F0B">
            <w:pPr>
              <w:spacing w:after="0"/>
              <w:jc w:val="center"/>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Nội dung học tập</w:t>
            </w:r>
          </w:p>
        </w:tc>
        <w:tc>
          <w:tcPr>
            <w:tcW w:w="1085" w:type="pct"/>
            <w:vAlign w:val="center"/>
          </w:tcPr>
          <w:p w:rsidR="007D3F0B" w:rsidRPr="007D3F0B" w:rsidRDefault="007D3F0B" w:rsidP="007D3F0B">
            <w:pPr>
              <w:spacing w:after="0"/>
              <w:jc w:val="center"/>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Chuẩn đầu ra</w:t>
            </w:r>
          </w:p>
        </w:tc>
      </w:tr>
      <w:tr w:rsidR="007D3F0B" w:rsidRPr="007D3F0B" w:rsidTr="00B641BA">
        <w:tc>
          <w:tcPr>
            <w:tcW w:w="1088"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Học nội dung chuyên  môn</w:t>
            </w:r>
          </w:p>
        </w:tc>
        <w:tc>
          <w:tcPr>
            <w:tcW w:w="2827"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Các tri thức chuyên môn (các khái niệm, phạm trù, quy luật, mối quan hệ…);</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Các kỹ năng chuyên môn;</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Ứng dụng, đánh giá chuyên môn.</w:t>
            </w:r>
          </w:p>
        </w:tc>
        <w:tc>
          <w:tcPr>
            <w:tcW w:w="1085"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Năng lực chuyên môn</w:t>
            </w:r>
          </w:p>
        </w:tc>
      </w:tr>
      <w:tr w:rsidR="007D3F0B" w:rsidRPr="007D3F0B" w:rsidTr="00B641BA">
        <w:tc>
          <w:tcPr>
            <w:tcW w:w="1088"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Học phương pháp- chiến lược</w:t>
            </w:r>
          </w:p>
        </w:tc>
        <w:tc>
          <w:tcPr>
            <w:tcW w:w="2827"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Lập kế hoạch học tập, kế hoạch làm việc;</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Các phương pháp nhận thức chung: Thu thâp, xử lý, đánh giá, trình bày thông tin;</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Các phương pháp chuyên môn</w:t>
            </w:r>
          </w:p>
        </w:tc>
        <w:tc>
          <w:tcPr>
            <w:tcW w:w="1085"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Năng lực phương pháp</w:t>
            </w:r>
          </w:p>
        </w:tc>
      </w:tr>
      <w:tr w:rsidR="007D3F0B" w:rsidRPr="007D3F0B" w:rsidTr="00B641BA">
        <w:tc>
          <w:tcPr>
            <w:tcW w:w="1088"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Học giao tiếp - Xã hội</w:t>
            </w:r>
          </w:p>
        </w:tc>
        <w:tc>
          <w:tcPr>
            <w:tcW w:w="2827"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Làm việc trong nhóm;</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Tạo điều kiện cho sự hiểu biết về phương diện xã hội;</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Học cách ứng xử, tinh thần trách nhiệm, khả năng giải quyết xung đột</w:t>
            </w:r>
          </w:p>
        </w:tc>
        <w:tc>
          <w:tcPr>
            <w:tcW w:w="1085"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Năng lực xã hội</w:t>
            </w:r>
          </w:p>
        </w:tc>
      </w:tr>
      <w:tr w:rsidR="007D3F0B" w:rsidRPr="007D3F0B" w:rsidTr="00B641BA">
        <w:tc>
          <w:tcPr>
            <w:tcW w:w="1088"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Học tự trải nghiệm - đánh giá</w:t>
            </w:r>
          </w:p>
        </w:tc>
        <w:tc>
          <w:tcPr>
            <w:tcW w:w="2827"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Tự đánh giá điểm mạnh, điểm yếu;</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Xây dựng kế hoạch phát triển cá nhân;</w:t>
            </w:r>
          </w:p>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Đánh  giá, hình  thành các chuẩn mực giá trị, đạo đức và văn hoá, lòng tự trọng</w:t>
            </w:r>
          </w:p>
        </w:tc>
        <w:tc>
          <w:tcPr>
            <w:tcW w:w="1085" w:type="pct"/>
          </w:tcPr>
          <w:p w:rsidR="007D3F0B" w:rsidRPr="007D3F0B" w:rsidRDefault="007D3F0B" w:rsidP="007D3F0B">
            <w:pPr>
              <w:spacing w:after="0"/>
              <w:rPr>
                <w:rFonts w:asciiTheme="majorHAnsi" w:hAnsiTheme="majorHAnsi" w:cstheme="majorHAnsi"/>
                <w:b/>
                <w:color w:val="000000"/>
                <w:sz w:val="26"/>
                <w:szCs w:val="26"/>
                <w:lang w:val="pt-BR"/>
              </w:rPr>
            </w:pPr>
            <w:r w:rsidRPr="007D3F0B">
              <w:rPr>
                <w:rFonts w:asciiTheme="majorHAnsi" w:hAnsiTheme="majorHAnsi" w:cstheme="majorHAnsi"/>
                <w:color w:val="000000"/>
                <w:sz w:val="26"/>
                <w:szCs w:val="26"/>
                <w:lang w:val="pt-BR"/>
              </w:rPr>
              <w:t>Năng lực cá nhân</w:t>
            </w:r>
          </w:p>
        </w:tc>
      </w:tr>
    </w:tbl>
    <w:p w:rsidR="007D3F0B" w:rsidRPr="007D3F0B" w:rsidRDefault="007D3F0B" w:rsidP="007D3F0B">
      <w:pPr>
        <w:numPr>
          <w:ilvl w:val="1"/>
          <w:numId w:val="40"/>
        </w:numPr>
        <w:tabs>
          <w:tab w:val="left" w:pos="450"/>
        </w:tabs>
        <w:spacing w:after="0"/>
        <w:ind w:left="0" w:firstLine="0"/>
        <w:jc w:val="both"/>
        <w:rPr>
          <w:rFonts w:asciiTheme="majorHAnsi" w:hAnsiTheme="majorHAnsi" w:cstheme="majorHAnsi"/>
          <w:b/>
          <w:i/>
          <w:sz w:val="26"/>
          <w:szCs w:val="26"/>
        </w:rPr>
      </w:pPr>
      <w:r w:rsidRPr="007D3F0B">
        <w:rPr>
          <w:rFonts w:asciiTheme="majorHAnsi" w:hAnsiTheme="majorHAnsi" w:cstheme="majorHAnsi"/>
          <w:b/>
          <w:i/>
          <w:sz w:val="26"/>
          <w:szCs w:val="26"/>
        </w:rPr>
        <w:t>Năng lực của sinh viên cao đẳng kỹ thuật ngành Công nghệ thông tin the</w:t>
      </w:r>
      <w:bookmarkStart w:id="0" w:name="_GoBack"/>
      <w:bookmarkEnd w:id="0"/>
      <w:r w:rsidRPr="007D3F0B">
        <w:rPr>
          <w:rFonts w:asciiTheme="majorHAnsi" w:hAnsiTheme="majorHAnsi" w:cstheme="majorHAnsi"/>
          <w:b/>
          <w:i/>
          <w:sz w:val="26"/>
          <w:szCs w:val="26"/>
        </w:rPr>
        <w:t>o tiêu chuẩn ABET</w:t>
      </w:r>
    </w:p>
    <w:p w:rsidR="007D3F0B" w:rsidRP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ABET (Accreditation Board for Engineering and Technology - Hội đồng kiểm định các chương trình đào tạo khối kỹ thuật và công nghệ) là một tổ chức của Mỹ có uy tín trên thế giới, chuyên kiểm định chất lượng các chương trình giảng dạy khối kỹ thuật, công nghệ, khoa học ứng dụng và điện toán. Tiền thân của ABET là Hội đồng phát triển nghề nghiệp kỹ thuật (Engineers Council for Professional Development - ECPD) được thành lập năm 1932, từ năm 1980 đổi tên thành ABET và cho đến nay đã kiểm định hơn 3100 chương trình trên 600 trường đại học và cao đẳng trên thế giới.[2]</w:t>
      </w:r>
    </w:p>
    <w:p w:rsidR="007D3F0B" w:rsidRPr="007D3F0B" w:rsidRDefault="007D3F0B" w:rsidP="007D3F0B">
      <w:pPr>
        <w:pStyle w:val="NormalWeb"/>
        <w:spacing w:before="0" w:beforeAutospacing="0" w:after="0" w:afterAutospacing="0" w:line="276" w:lineRule="auto"/>
        <w:ind w:right="68" w:firstLine="567"/>
        <w:rPr>
          <w:rFonts w:asciiTheme="majorHAnsi" w:hAnsiTheme="majorHAnsi" w:cstheme="majorHAnsi"/>
          <w:color w:val="000000"/>
          <w:sz w:val="26"/>
          <w:szCs w:val="26"/>
        </w:rPr>
      </w:pPr>
      <w:r w:rsidRPr="007D3F0B">
        <w:rPr>
          <w:rFonts w:asciiTheme="majorHAnsi" w:hAnsiTheme="majorHAnsi" w:cstheme="majorHAnsi"/>
          <w:color w:val="000000"/>
          <w:sz w:val="26"/>
          <w:szCs w:val="26"/>
        </w:rPr>
        <w:t xml:space="preserve">Tại Việt Nam, với mục tiêu "Phát triển toàn diện, bền vững và hội nhập quốc tế", kiểm định chương trình đào tạo theo ABET là một trong những cam kết của Nhà trường với Bộ Giáo dục và Đào tạo, công ty Intel Việt Nam, cơ quan Phát triển Quốc tế Hoa Kỳ (USAID) và Trường Đại học Bang Arizona, Hoa Kỳ trong dự án HEEAP 2.0 từ năm 2010. Một số trường đại học đã kiểm định chương trình đào tạo theo ABET như: Trường Đại học Bách Khoa TP. HCM (11/2013), Đại học Sư phạm Kỹ thuật TP. HCM dự kiến đạt chuẩn kiểm định ABET vào năm 2018 và các trường như đại học Đà nẵng, đại học FPT rất quan tâm. </w:t>
      </w:r>
    </w:p>
    <w:p w:rsidR="007D3F0B" w:rsidRP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lastRenderedPageBreak/>
        <w:t xml:space="preserve">ABET đưa ra 9 tiêu chuẩn kiểm định và nhấn mạnh chuẩn đầu ra (student outcomes). Đó là: (1) Sinh viên; (2) Mục tiêu của chương trình đào tạo; (3) Chuẩn đầu ra; (4) Sự cải thiện liên tục; (5) Chương trình đào tạo; (6) Đội ngũ giảng viên; (7) Cơ sở vật chất; (8) Sự hỗ trợ của cơ sở đào tạo; (9) Tiêu chí của chương trình. </w:t>
      </w:r>
    </w:p>
    <w:p w:rsidR="007D3F0B" w:rsidRP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Chuẩn đầu ra (student outcomes)  theo các tiêu chuẩn kiểm định chương trình điện toán (criteria for accrediting computing programs) dành cho giáo dục đại học phiên bản năm 2012-2013 của Hội đồng các giám đốc ABET quy định vào ngày 29/10/2011 tại Baltimore, Hoa kỳ có 11 yêu cầu cụ thể thể hiện các kiến thức, kỹ năng và thái độ của người học đạt được khi tốt nghiệp, thể hiện quan điểm đánh giá sự thành công của một chương trình đào tạo là dựa trên kết quả đạt được của người học. </w:t>
      </w:r>
    </w:p>
    <w:p w:rsidR="007D3F0B" w:rsidRP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Mô tả năng lực của sinh viên cao đẳng kỹ thuật đạt được khi họ sau khi tốt nghiệp chương trình đào tạo gồm: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(1) có khả năng ứng dụng tri thức thuộc các lĩnh vực toán, khoa học và kỹ thuật.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(2) có khả năng thiết kế và tiến hành thí nghiệm cũng như phân tích và đọc kết quả thí nghiệm.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(3) có khả năng thiết kế một hệ thống, một giai đoạn của một quy trình sao cho đáp ứng được các yêu cầu đặt ra trong điều kiện ràng buộc về kinh tế, môi trường, xã hội, chính trị, đạo đức, sức khoẻ và an toàn, khả năng sản xuất và tính bền vững.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(4) có khả năng làm việc trong các nhóm liên ngành.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(5) có khả năng phát hiện và giải quyết vấn đề.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(6) có hiểu biết về trách nhiệm chuyên môn và đạo đức. </w:t>
      </w:r>
    </w:p>
    <w:p w:rsidR="007D3F0B" w:rsidRPr="007D3F0B" w:rsidRDefault="007D3F0B" w:rsidP="007D3F0B">
      <w:pPr>
        <w:spacing w:after="0"/>
        <w:ind w:left="567"/>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(7) có khả năng giao tiếp tốt. </w:t>
      </w:r>
    </w:p>
    <w:p w:rsidR="007D3F0B" w:rsidRPr="007D3F0B" w:rsidRDefault="007D3F0B" w:rsidP="007D3F0B">
      <w:pPr>
        <w:spacing w:after="0"/>
        <w:ind w:left="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(8) học đủ rộng để hiểu được tác động của các giải pháp kỹ thuật trong bối cảnh kinh tế, xã hội, môi trường toàn cầu. </w:t>
      </w:r>
    </w:p>
    <w:p w:rsidR="007D3F0B" w:rsidRPr="007D3F0B" w:rsidRDefault="007D3F0B" w:rsidP="007D3F0B">
      <w:pPr>
        <w:spacing w:after="0"/>
        <w:ind w:left="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(9) hiểu được sự cần thiết và có khả năng tham gia học tập suốt đời. </w:t>
      </w:r>
    </w:p>
    <w:p w:rsidR="007D3F0B" w:rsidRPr="007D3F0B" w:rsidRDefault="007D3F0B" w:rsidP="007D3F0B">
      <w:pPr>
        <w:spacing w:after="0"/>
        <w:ind w:left="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(10) có hiểu biết về các vấn đề đương đại. </w:t>
      </w:r>
    </w:p>
    <w:p w:rsidR="007D3F0B" w:rsidRPr="007D3F0B" w:rsidRDefault="007D3F0B" w:rsidP="007D3F0B">
      <w:pPr>
        <w:spacing w:after="0"/>
        <w:ind w:left="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(11) có khả năng sử dụng các kỹ thuật, kỹ năng, và công cụ kỹ thuật hiện đại cần thiết trong thực hành. </w:t>
      </w:r>
    </w:p>
    <w:p w:rsidR="007D3F0B" w:rsidRP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Ngoài ra, chuẩn đầu ra phải được bổ sung theo đặc thù của mục tiêu ngành đào tạo mà SV cần đạt được theo quy định của chương trình. Ví dụ như về lĩnh vực điện toán, ABET còn có tiêu chuẩn riêng cho chuyên ngành và tương đương như Khoa học máy tính, hệ thống thông tin và  công nghệ thông tin. Đối với chương trình Hệ thống thông tin (Information Systems), có các tiêu chuẩn yêu cầu thêm như:  </w:t>
      </w:r>
    </w:p>
    <w:p w:rsidR="007D3F0B" w:rsidRPr="007D3F0B" w:rsidRDefault="007D3F0B" w:rsidP="007D3F0B">
      <w:pPr>
        <w:spacing w:after="0"/>
        <w:ind w:left="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(12) Hiểu biết về quá trình nhằm hỗ trợ việc cung cấp và quản lý hệ thống thông tin trong một môi trường ứng dụng cụ thể. [2]</w:t>
      </w:r>
    </w:p>
    <w:p w:rsidR="007D3F0B" w:rsidRPr="007D3F0B" w:rsidRDefault="007D3F0B" w:rsidP="007D3F0B">
      <w:pPr>
        <w:numPr>
          <w:ilvl w:val="0"/>
          <w:numId w:val="40"/>
        </w:numPr>
        <w:spacing w:after="0"/>
        <w:jc w:val="both"/>
        <w:rPr>
          <w:rFonts w:asciiTheme="majorHAnsi" w:hAnsiTheme="majorHAnsi" w:cstheme="majorHAnsi"/>
          <w:b/>
          <w:sz w:val="26"/>
          <w:szCs w:val="26"/>
        </w:rPr>
      </w:pPr>
      <w:bookmarkStart w:id="1" w:name="_Toc398303397"/>
      <w:r w:rsidRPr="007D3F0B">
        <w:rPr>
          <w:rFonts w:asciiTheme="majorHAnsi" w:hAnsiTheme="majorHAnsi" w:cstheme="majorHAnsi"/>
          <w:b/>
          <w:sz w:val="26"/>
          <w:szCs w:val="26"/>
        </w:rPr>
        <w:t>Tổng quan về dạy học dựa vào dự án</w:t>
      </w:r>
    </w:p>
    <w:p w:rsidR="007D3F0B" w:rsidRDefault="007D3F0B" w:rsidP="007D3F0B">
      <w:pPr>
        <w:spacing w:after="0"/>
        <w:ind w:firstLine="540"/>
        <w:jc w:val="both"/>
        <w:rPr>
          <w:rFonts w:asciiTheme="majorHAnsi" w:hAnsiTheme="majorHAnsi" w:cstheme="majorHAnsi"/>
          <w:b/>
          <w:sz w:val="26"/>
          <w:szCs w:val="26"/>
        </w:rPr>
      </w:pPr>
      <w:r w:rsidRPr="007D3F0B">
        <w:rPr>
          <w:rFonts w:asciiTheme="majorHAnsi" w:eastAsia="Times New Roman" w:hAnsiTheme="majorHAnsi" w:cstheme="majorHAnsi"/>
          <w:sz w:val="26"/>
          <w:szCs w:val="26"/>
        </w:rPr>
        <w:t xml:space="preserve">Thom Markham [9] mô tả: "DHDVDA tích hợp giữa biết và làm. SV học hỏi kiến thức và các thành phần của chương trình giảng dạy, áp dụng những gì họ biết để giải quyết vấn đề thực tế và cho ra kết quả. Qua DHDVDA, SV có thuận lợi là dùng các công cụ kỹ thuật số để tạo ra sản phẩm hợp tác chất lượng cao. DHDVDA tập trung giáo dục và đào tạo SV, không phải là chương trình giảng dạy, là một sự thay đổi bắt buộc của thế giới toàn cầu, trong đó tạo được các giá trị quý báu như sự chủ động, niềm đam mê, sáng tạo, sự đồng cảm, và khả năng </w:t>
      </w:r>
      <w:r w:rsidRPr="007D3F0B">
        <w:rPr>
          <w:rFonts w:asciiTheme="majorHAnsi" w:eastAsia="Times New Roman" w:hAnsiTheme="majorHAnsi" w:cstheme="majorHAnsi"/>
          <w:sz w:val="26"/>
          <w:szCs w:val="26"/>
        </w:rPr>
        <w:lastRenderedPageBreak/>
        <w:t>vận dụng vào thực tế mà không thể được giảng dạy trong sách giáo khoa mà phải học qua kinh nghiệm”.</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color w:val="000000"/>
          <w:sz w:val="26"/>
          <w:szCs w:val="26"/>
        </w:rPr>
        <w:t xml:space="preserve">Tại Đại học Aalborg, Đan Mạch:  Các chương trình lấy dự án làm trung tâm bắt đầu năm 1974.  Năm thứ 1, học các môn toán học, vật lý và khoa học máy tính chủ yếu được giảng dạy theo truyền thống, được giới thiệu về phương pháp học dựa vào dự án và làm việc theo nhóm chuẩn bị cho năm sau. Trong các năm còn lại chương trình bao gồm 50% dự án, 25%  công việc hỗ trợ công trình dự án (tức là các bài giảng, hội thảo, các bài tập trong phòng thí nghiệm) và các môn học  còn lại 25% . Các dự án Aalborg rất mạnh về định hướng, thường là vấn đề ngành công nghiệp và những vấn đề mới giao cho các nhóm mỗi năm. SV làm việc theo nhóm từ 5-7 người và mỗi nhóm SV được giao văn phòng. SV chọn dự án đã được phê duyệt từ 1 học kỳ trước có một chủ đề chung của nghiên cứu. Mỗi nhóm dự án được phân công hai cố vấn của giảng viên. Đội ngũ giảng viên giám sát từ ba đến năm nhóm dự án cũng như giảng dạy các môn học trong lĩnh vực chuyên môn của họ. </w:t>
      </w:r>
    </w:p>
    <w:p w:rsidR="007D3F0B" w:rsidRPr="007D3F0B" w:rsidRDefault="007D3F0B" w:rsidP="007D3F0B">
      <w:pPr>
        <w:widowControl w:val="0"/>
        <w:spacing w:after="0"/>
        <w:ind w:left="720"/>
        <w:jc w:val="both"/>
        <w:outlineLvl w:val="1"/>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Ở Đại học Monash, Úc:    </w:t>
      </w:r>
    </w:p>
    <w:p w:rsidR="007D3F0B" w:rsidRPr="007D3F0B" w:rsidRDefault="007D3F0B" w:rsidP="007D3F0B">
      <w:pPr>
        <w:numPr>
          <w:ilvl w:val="0"/>
          <w:numId w:val="41"/>
        </w:numPr>
        <w:spacing w:after="0"/>
        <w:ind w:left="92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Học theo dự án hỗ trợ (Project-assisted learning): GV cung cấp nội dung và kiểm soát, chủ yếu học theo dự án hỗ trợ,ví dụ dự án hợp tác, dự án nhóm. Được áp dụng cho SV ngành xây dựng trong năm thứ nhất và năm thứ hai. Chương trình trong năm thứ  nhất gồm kiến thức đại cương: toán học, máy tính, vật lý..., năm thứ hai  tiếp theo và có một số môn chuyên ngành.</w:t>
      </w:r>
    </w:p>
    <w:p w:rsidR="007D3F0B" w:rsidRPr="007D3F0B" w:rsidRDefault="007D3F0B" w:rsidP="007D3F0B">
      <w:pPr>
        <w:numPr>
          <w:ilvl w:val="0"/>
          <w:numId w:val="41"/>
        </w:numPr>
        <w:spacing w:after="0"/>
        <w:ind w:left="92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Học dựa vào dự án (Project-based  learning). Được áp dụng cho SV năm thứ 3. Dự án học tập là hoạt động chủ đạo SV nhưng GV chuẩn bị là chủ yếu. </w:t>
      </w:r>
    </w:p>
    <w:p w:rsidR="007D3F0B" w:rsidRPr="007D3F0B" w:rsidRDefault="007D3F0B" w:rsidP="007D3F0B">
      <w:pPr>
        <w:numPr>
          <w:ilvl w:val="0"/>
          <w:numId w:val="41"/>
        </w:numPr>
        <w:spacing w:after="0"/>
        <w:ind w:left="92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 xml:space="preserve">Học dựa vào vấn đề (Problem-based learning) SV kiểm soát nội dung, lập kế hoạch và hợp tác nhóm trong khi GV xác định các vấn đề. Trong năm cuối,  SV được tự lực học tập trong tìm đề tài dự án và tài liệu, do đó giai đoạn này kết hợp học dựa vào vấn đề. </w:t>
      </w:r>
    </w:p>
    <w:p w:rsidR="007D3F0B" w:rsidRDefault="007D3F0B" w:rsidP="007D3F0B">
      <w:pPr>
        <w:spacing w:after="0"/>
        <w:ind w:firstLine="567"/>
        <w:jc w:val="both"/>
        <w:rPr>
          <w:rFonts w:asciiTheme="majorHAnsi" w:hAnsiTheme="majorHAnsi" w:cstheme="majorHAnsi"/>
          <w:b/>
          <w:color w:val="000000"/>
          <w:sz w:val="26"/>
          <w:szCs w:val="26"/>
        </w:rPr>
      </w:pPr>
      <w:r w:rsidRPr="007D3F0B">
        <w:rPr>
          <w:rFonts w:asciiTheme="majorHAnsi" w:hAnsiTheme="majorHAnsi" w:cstheme="majorHAnsi"/>
          <w:color w:val="000000"/>
          <w:sz w:val="26"/>
          <w:szCs w:val="26"/>
        </w:rPr>
        <w:t>Tại Đại học Central Queensland (CQU), Úc:  CQU đào tạo ngành xây dựng, điện, cơ khí và máy tính và bắt đầu đào tạo kỹ thuật dựa vào dự án trong năm 1998.  Tất cả các chương trình đã thông qua một mô hình dự án, với 50% khối lượng công việc của SV trong mỗi học kỳ được phân bổ cho một dự án. Mỗi học kỳ bao gồm 26 đơn vị khóa học, được sử dụng để phát triển các cơ sở kiến thức lý thuyết, và khóa học dựa trên dự án 12 đơn vị. Các dự án tăng dần thời gian và độ khó trong chương trình. CQU đã giới thiệu các khóa học theo dự án là 50% của năm đầu tiên là tốt. Các khóa học năm đầu tiên tập trung vào phát triển kỹ năng trong làm việc nhóm, giao tiếp, tính toán, giải quyết vấn đề , cũng như giới thiệu SV đến các vấn đề kỹ thuật như đạo đức, yếu tố môi trường và xã hội.</w:t>
      </w:r>
    </w:p>
    <w:p w:rsidR="007D3F0B" w:rsidRDefault="007D3F0B" w:rsidP="007D3F0B">
      <w:pPr>
        <w:spacing w:after="0"/>
        <w:ind w:firstLine="567"/>
        <w:jc w:val="both"/>
        <w:rPr>
          <w:rFonts w:asciiTheme="majorHAnsi" w:eastAsia="Times New Roman" w:hAnsiTheme="majorHAnsi" w:cstheme="majorHAnsi"/>
          <w:color w:val="000000"/>
          <w:sz w:val="26"/>
          <w:szCs w:val="26"/>
        </w:rPr>
      </w:pPr>
      <w:r w:rsidRPr="007D3F0B">
        <w:rPr>
          <w:rFonts w:asciiTheme="majorHAnsi" w:eastAsia="Times New Roman" w:hAnsiTheme="majorHAnsi" w:cstheme="majorHAnsi"/>
          <w:color w:val="000000"/>
          <w:sz w:val="26"/>
          <w:szCs w:val="26"/>
        </w:rPr>
        <w:t xml:space="preserve">Tại Áo, năm 2011, tại hội nghị về giáo dục và tâm lý giáo dục quốc tế về  “tổng kết hơn 500 dự án dạy học  trong lĩnh vực khoa học máy tính”, DHDVDA đã trở thành phương pháp giảng dạy được sử dụng rộng rãi qua  hơn 10 năm thực nghiệm và  có rất nhiều thuận lợi trong đào tạo ngành khoa học máy tính. SV có thể áp dụng kiến thức kỹ thuật, đạt được các kỹ năng thực tế trong lập trình, tham gia vào các quá trình trong nhóm và có kỹ năng mềm trong quản lý dự án. </w:t>
      </w:r>
    </w:p>
    <w:p w:rsidR="007D3F0B" w:rsidRPr="007D3F0B" w:rsidRDefault="007D3F0B" w:rsidP="007D3F0B">
      <w:pPr>
        <w:spacing w:after="0"/>
        <w:ind w:firstLine="567"/>
        <w:jc w:val="both"/>
        <w:rPr>
          <w:rFonts w:asciiTheme="majorHAnsi" w:hAnsiTheme="majorHAnsi" w:cstheme="majorHAnsi"/>
          <w:b/>
          <w:color w:val="000000"/>
          <w:sz w:val="26"/>
          <w:szCs w:val="26"/>
        </w:rPr>
      </w:pPr>
    </w:p>
    <w:p w:rsidR="007D3F0B" w:rsidRPr="007D3F0B" w:rsidRDefault="007D3F0B" w:rsidP="007D3F0B">
      <w:pPr>
        <w:numPr>
          <w:ilvl w:val="0"/>
          <w:numId w:val="40"/>
        </w:numPr>
        <w:tabs>
          <w:tab w:val="left" w:pos="270"/>
        </w:tabs>
        <w:spacing w:after="0"/>
        <w:ind w:left="0" w:firstLine="0"/>
        <w:jc w:val="both"/>
        <w:rPr>
          <w:rFonts w:asciiTheme="majorHAnsi" w:hAnsiTheme="majorHAnsi" w:cstheme="majorHAnsi"/>
          <w:b/>
          <w:sz w:val="26"/>
          <w:szCs w:val="26"/>
        </w:rPr>
      </w:pPr>
      <w:r w:rsidRPr="007D3F0B">
        <w:rPr>
          <w:rFonts w:asciiTheme="majorHAnsi" w:hAnsiTheme="majorHAnsi" w:cstheme="majorHAnsi"/>
          <w:b/>
          <w:sz w:val="26"/>
          <w:szCs w:val="26"/>
        </w:rPr>
        <w:lastRenderedPageBreak/>
        <w:t>Đào tạo trình độ cao đẳng ngành Công nghệ thông tin</w:t>
      </w:r>
      <w:bookmarkEnd w:id="1"/>
      <w:r w:rsidRPr="007D3F0B">
        <w:rPr>
          <w:rFonts w:asciiTheme="majorHAnsi" w:hAnsiTheme="majorHAnsi" w:cstheme="majorHAnsi"/>
          <w:b/>
          <w:sz w:val="26"/>
          <w:szCs w:val="26"/>
        </w:rPr>
        <w:t xml:space="preserve"> với hình thức dạy học dựa vào dự án theo định hướng tiếp cận CDIO</w:t>
      </w:r>
    </w:p>
    <w:p w:rsidR="007D3F0B" w:rsidRPr="007D3F0B" w:rsidRDefault="007D3F0B" w:rsidP="007D3F0B">
      <w:pPr>
        <w:pStyle w:val="Heading3"/>
        <w:ind w:firstLine="540"/>
        <w:rPr>
          <w:rFonts w:eastAsia="Times New Roman" w:cstheme="majorHAnsi"/>
          <w:b/>
          <w:color w:val="auto"/>
          <w:sz w:val="26"/>
          <w:szCs w:val="26"/>
        </w:rPr>
      </w:pPr>
      <w:bookmarkStart w:id="2" w:name="_Toc392623333"/>
      <w:bookmarkStart w:id="3" w:name="_Toc393132482"/>
      <w:bookmarkStart w:id="4" w:name="_Toc393570817"/>
      <w:bookmarkStart w:id="5" w:name="_Toc393644822"/>
      <w:bookmarkStart w:id="6" w:name="_Toc394172890"/>
      <w:bookmarkStart w:id="7" w:name="_Toc396402033"/>
      <w:bookmarkStart w:id="8" w:name="_Toc396488930"/>
      <w:bookmarkStart w:id="9" w:name="_Toc396551506"/>
      <w:bookmarkStart w:id="10" w:name="_Toc398303398"/>
      <w:r w:rsidRPr="007D3F0B">
        <w:rPr>
          <w:rFonts w:eastAsia="Times New Roman" w:cstheme="majorHAnsi"/>
          <w:color w:val="auto"/>
          <w:sz w:val="26"/>
          <w:szCs w:val="26"/>
        </w:rPr>
        <w:t xml:space="preserve">Tiến trình </w:t>
      </w:r>
      <w:r w:rsidRPr="007D3F0B">
        <w:rPr>
          <w:rFonts w:cstheme="majorHAnsi"/>
          <w:color w:val="auto"/>
          <w:sz w:val="26"/>
          <w:szCs w:val="26"/>
        </w:rPr>
        <w:t xml:space="preserve">hình thức </w:t>
      </w:r>
      <w:r w:rsidRPr="007D3F0B">
        <w:rPr>
          <w:rFonts w:eastAsia="Times New Roman" w:cstheme="majorHAnsi"/>
          <w:color w:val="auto"/>
          <w:sz w:val="26"/>
          <w:szCs w:val="26"/>
        </w:rPr>
        <w:t>DHDVDA được chia thành các giai đoạn khác nhau. Theo Kilpatric [6],  tiến trình chia làm 4 giai đoạn, đó là ý tưởng dự án, lập kế hoạch, thực hiện và đánh giá. Trong “dạy và học tích cực”[</w:t>
      </w:r>
      <w:r w:rsidRPr="007D3F0B">
        <w:rPr>
          <w:rFonts w:eastAsia="Times New Roman" w:cstheme="majorHAnsi"/>
          <w:b/>
          <w:color w:val="auto"/>
          <w:sz w:val="26"/>
          <w:szCs w:val="26"/>
        </w:rPr>
        <w:fldChar w:fldCharType="begin"/>
      </w:r>
      <w:r w:rsidRPr="007D3F0B">
        <w:rPr>
          <w:rFonts w:eastAsia="Times New Roman" w:cstheme="majorHAnsi"/>
          <w:color w:val="auto"/>
          <w:sz w:val="26"/>
          <w:szCs w:val="26"/>
        </w:rPr>
        <w:instrText xml:space="preserve"> REF _Ref393046865 \r \h  \* MERGEFORMAT </w:instrText>
      </w:r>
      <w:r w:rsidRPr="007D3F0B">
        <w:rPr>
          <w:rFonts w:eastAsia="Times New Roman" w:cstheme="majorHAnsi"/>
          <w:b/>
          <w:color w:val="auto"/>
          <w:sz w:val="26"/>
          <w:szCs w:val="26"/>
        </w:rPr>
      </w:r>
      <w:r w:rsidRPr="007D3F0B">
        <w:rPr>
          <w:rFonts w:eastAsia="Times New Roman" w:cstheme="majorHAnsi"/>
          <w:b/>
          <w:color w:val="auto"/>
          <w:sz w:val="26"/>
          <w:szCs w:val="26"/>
        </w:rPr>
        <w:fldChar w:fldCharType="separate"/>
      </w:r>
      <w:r w:rsidRPr="007D3F0B">
        <w:rPr>
          <w:rFonts w:eastAsia="Times New Roman" w:cstheme="majorHAnsi"/>
          <w:color w:val="auto"/>
          <w:sz w:val="26"/>
          <w:szCs w:val="26"/>
        </w:rPr>
        <w:t>1</w:t>
      </w:r>
      <w:r w:rsidRPr="007D3F0B">
        <w:rPr>
          <w:rFonts w:eastAsia="Times New Roman" w:cstheme="majorHAnsi"/>
          <w:b/>
          <w:color w:val="auto"/>
          <w:sz w:val="26"/>
          <w:szCs w:val="26"/>
        </w:rPr>
        <w:fldChar w:fldCharType="end"/>
      </w:r>
      <w:r w:rsidRPr="007D3F0B">
        <w:rPr>
          <w:rFonts w:eastAsia="Times New Roman" w:cstheme="majorHAnsi"/>
          <w:color w:val="auto"/>
          <w:sz w:val="26"/>
          <w:szCs w:val="26"/>
        </w:rPr>
        <w:t>], các tác giả phân tích tiến trình DHDVDA gồm 3 bước như sau:</w:t>
      </w:r>
    </w:p>
    <w:p w:rsidR="007D3F0B" w:rsidRPr="007D3F0B" w:rsidRDefault="007D3F0B" w:rsidP="007D3F0B">
      <w:pPr>
        <w:pStyle w:val="Heading3"/>
        <w:ind w:firstLine="540"/>
        <w:rPr>
          <w:rFonts w:eastAsia="Times New Roman" w:cstheme="majorHAnsi"/>
          <w:b/>
          <w:color w:val="auto"/>
          <w:sz w:val="26"/>
          <w:szCs w:val="26"/>
        </w:rPr>
      </w:pPr>
      <w:r w:rsidRPr="007D3F0B">
        <w:rPr>
          <w:rFonts w:eastAsia="Times New Roman" w:cstheme="majorHAnsi"/>
          <w:color w:val="auto"/>
          <w:sz w:val="26"/>
          <w:szCs w:val="26"/>
        </w:rPr>
        <w:t>Bước 1: Lập kế hoạch dự án (lựa chọn chủ đề, xây dựng chủ đề, lập kế hoạch các nhiệm vụ học tập).</w:t>
      </w:r>
    </w:p>
    <w:p w:rsidR="007D3F0B" w:rsidRPr="007D3F0B" w:rsidRDefault="007D3F0B" w:rsidP="007D3F0B">
      <w:pPr>
        <w:pStyle w:val="Heading3"/>
        <w:ind w:firstLine="540"/>
        <w:rPr>
          <w:rFonts w:eastAsia="Times New Roman" w:cstheme="majorHAnsi"/>
          <w:b/>
          <w:color w:val="auto"/>
          <w:sz w:val="26"/>
          <w:szCs w:val="26"/>
        </w:rPr>
      </w:pPr>
      <w:r w:rsidRPr="007D3F0B">
        <w:rPr>
          <w:rFonts w:eastAsia="Times New Roman" w:cstheme="majorHAnsi"/>
          <w:color w:val="auto"/>
          <w:sz w:val="26"/>
          <w:szCs w:val="26"/>
        </w:rPr>
        <w:t>Bước 2: Thực hiện dự án (thu thập thông tin, xử lý thông tin, tổng hợp thông tin).</w:t>
      </w:r>
    </w:p>
    <w:p w:rsidR="007D3F0B" w:rsidRPr="007D3F0B" w:rsidRDefault="007D3F0B" w:rsidP="007D3F0B">
      <w:pPr>
        <w:pStyle w:val="Heading3"/>
        <w:ind w:firstLine="540"/>
        <w:rPr>
          <w:rFonts w:eastAsia="Times New Roman" w:cstheme="majorHAnsi"/>
          <w:b/>
          <w:color w:val="auto"/>
          <w:sz w:val="26"/>
          <w:szCs w:val="26"/>
        </w:rPr>
      </w:pPr>
      <w:r w:rsidRPr="007D3F0B">
        <w:rPr>
          <w:rFonts w:eastAsia="Times New Roman" w:cstheme="majorHAnsi"/>
          <w:color w:val="auto"/>
          <w:sz w:val="26"/>
          <w:szCs w:val="26"/>
        </w:rPr>
        <w:t xml:space="preserve">Bước 3: Tổng hợp kết quả (xây dựng sản phẩm, báo cáo sản phẩm, đánh giá sản phẩm). </w:t>
      </w:r>
    </w:p>
    <w:p w:rsidR="007D3F0B" w:rsidRPr="007D3F0B" w:rsidRDefault="007D3F0B" w:rsidP="007D3F0B">
      <w:pPr>
        <w:pStyle w:val="Heading3"/>
        <w:ind w:firstLine="540"/>
        <w:rPr>
          <w:rFonts w:eastAsia="Times New Roman" w:cstheme="majorHAnsi"/>
          <w:b/>
          <w:color w:val="auto"/>
          <w:sz w:val="26"/>
          <w:szCs w:val="26"/>
        </w:rPr>
      </w:pPr>
      <w:r w:rsidRPr="007D3F0B">
        <w:rPr>
          <w:rFonts w:eastAsia="Times New Roman" w:cstheme="majorHAnsi"/>
          <w:color w:val="auto"/>
          <w:sz w:val="26"/>
          <w:szCs w:val="26"/>
        </w:rPr>
        <w:t>Điểm mạnh  của các tiến trình này chú trọng vào việc thực hiện dự án học tập và rất phù hợp khi DHDVDA xem như là phương pháp dạy học tích cực và không phân biệt hoạt động của GV hay của SV.</w:t>
      </w:r>
      <w:bookmarkEnd w:id="2"/>
      <w:bookmarkEnd w:id="3"/>
      <w:bookmarkEnd w:id="4"/>
      <w:bookmarkEnd w:id="5"/>
      <w:bookmarkEnd w:id="6"/>
      <w:bookmarkEnd w:id="7"/>
      <w:bookmarkEnd w:id="8"/>
      <w:bookmarkEnd w:id="9"/>
      <w:bookmarkEnd w:id="10"/>
    </w:p>
    <w:p w:rsidR="007D3F0B" w:rsidRPr="007D3F0B" w:rsidRDefault="007D3F0B" w:rsidP="007D3F0B">
      <w:pPr>
        <w:spacing w:after="0"/>
        <w:jc w:val="both"/>
        <w:rPr>
          <w:rFonts w:asciiTheme="majorHAnsi" w:hAnsiTheme="majorHAnsi" w:cstheme="majorHAnsi"/>
          <w:b/>
          <w:sz w:val="26"/>
          <w:szCs w:val="26"/>
        </w:rPr>
      </w:pPr>
      <w:r w:rsidRPr="007D3F0B">
        <w:rPr>
          <w:rFonts w:asciiTheme="majorHAnsi" w:hAnsiTheme="majorHAnsi" w:cstheme="majorHAnsi"/>
          <w:sz w:val="26"/>
          <w:szCs w:val="26"/>
        </w:rPr>
        <w:tab/>
        <w:t xml:space="preserve">Với phương pháp tiếp cận mô hình CDIO [10] Conceive (ý tưởng) Design (Thiết kế) Implement (Triển khai) Operate (Vận hành) khi nghiên cứu về tiến trình DHDVDA, chúng tôi theo quan điểm tiếp cận mô hình CDIO trong phát triển chương trình đào tạo Kỹ thuật và Công nghệ với định hướng đào tạo theo chuẩn ABET. </w:t>
      </w:r>
    </w:p>
    <w:p w:rsidR="007D3F0B" w:rsidRPr="007D3F0B" w:rsidRDefault="007D3F0B" w:rsidP="007D3F0B">
      <w:pPr>
        <w:spacing w:after="0"/>
        <w:ind w:firstLine="720"/>
        <w:jc w:val="both"/>
        <w:rPr>
          <w:rFonts w:asciiTheme="majorHAnsi" w:hAnsiTheme="majorHAnsi" w:cstheme="majorHAnsi"/>
          <w:b/>
          <w:sz w:val="26"/>
          <w:szCs w:val="26"/>
        </w:rPr>
      </w:pPr>
      <w:r w:rsidRPr="007D3F0B">
        <w:rPr>
          <w:rFonts w:asciiTheme="majorHAnsi" w:hAnsiTheme="majorHAnsi" w:cstheme="majorHAnsi"/>
          <w:sz w:val="26"/>
          <w:szCs w:val="26"/>
        </w:rPr>
        <w:t>Bảng phân tích các dự án theo hướng tiếp cận CDIO trong chương trình đào tạo ngành Công nghệ thông tin, chuyên ngành Công nghệ phần mềm của trường Cao đẳng kỹ thuật Lý Tự Trọng như sau:</w:t>
      </w:r>
    </w:p>
    <w:tbl>
      <w:tblPr>
        <w:tblW w:w="470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1556"/>
        <w:gridCol w:w="1552"/>
        <w:gridCol w:w="1455"/>
        <w:gridCol w:w="1614"/>
        <w:gridCol w:w="1490"/>
      </w:tblGrid>
      <w:tr w:rsidR="007D3F0B" w:rsidRPr="007D3F0B" w:rsidTr="00B641BA">
        <w:tc>
          <w:tcPr>
            <w:tcW w:w="596"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Tên dự án</w:t>
            </w:r>
          </w:p>
        </w:tc>
        <w:tc>
          <w:tcPr>
            <w:tcW w:w="893"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Năm/</w:t>
            </w:r>
          </w:p>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Học kỳ</w:t>
            </w:r>
          </w:p>
        </w:tc>
        <w:tc>
          <w:tcPr>
            <w:tcW w:w="891"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Conceive (Ý tưởng)</w:t>
            </w:r>
          </w:p>
        </w:tc>
        <w:tc>
          <w:tcPr>
            <w:tcW w:w="838"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Design (Thiết kế)</w:t>
            </w:r>
          </w:p>
        </w:tc>
        <w:tc>
          <w:tcPr>
            <w:tcW w:w="925"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Implement (Triển khai)</w:t>
            </w:r>
          </w:p>
        </w:tc>
        <w:tc>
          <w:tcPr>
            <w:tcW w:w="857"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Operate (Vận hành)</w:t>
            </w:r>
          </w:p>
        </w:tc>
      </w:tr>
      <w:tr w:rsidR="007D3F0B" w:rsidRPr="007D3F0B" w:rsidTr="00B641BA">
        <w:tc>
          <w:tcPr>
            <w:tcW w:w="596" w:type="pct"/>
            <w:shd w:val="clear" w:color="auto" w:fill="auto"/>
          </w:tcPr>
          <w:p w:rsidR="007D3F0B" w:rsidRPr="007D3F0B" w:rsidRDefault="007D3F0B" w:rsidP="007D3F0B">
            <w:pPr>
              <w:spacing w:after="0"/>
              <w:rPr>
                <w:rFonts w:asciiTheme="majorHAnsi" w:hAnsiTheme="majorHAnsi" w:cstheme="majorHAnsi"/>
                <w:b/>
                <w:sz w:val="26"/>
                <w:szCs w:val="26"/>
              </w:rPr>
            </w:pPr>
            <w:r w:rsidRPr="007D3F0B">
              <w:rPr>
                <w:rFonts w:asciiTheme="majorHAnsi" w:hAnsiTheme="majorHAnsi" w:cstheme="majorHAnsi"/>
                <w:sz w:val="26"/>
                <w:szCs w:val="26"/>
              </w:rPr>
              <w:t>Tin học văn phòng/Thiết kế trang web</w:t>
            </w:r>
          </w:p>
        </w:tc>
        <w:tc>
          <w:tcPr>
            <w:tcW w:w="893"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2</w:t>
            </w:r>
          </w:p>
        </w:tc>
        <w:tc>
          <w:tcPr>
            <w:tcW w:w="891"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c>
          <w:tcPr>
            <w:tcW w:w="838"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c>
          <w:tcPr>
            <w:tcW w:w="925"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857"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r>
      <w:tr w:rsidR="007D3F0B" w:rsidRPr="007D3F0B" w:rsidTr="00B641BA">
        <w:tc>
          <w:tcPr>
            <w:tcW w:w="596" w:type="pct"/>
            <w:shd w:val="clear" w:color="auto" w:fill="auto"/>
          </w:tcPr>
          <w:p w:rsidR="007D3F0B" w:rsidRPr="007D3F0B" w:rsidRDefault="007D3F0B" w:rsidP="007D3F0B">
            <w:pPr>
              <w:spacing w:after="0"/>
              <w:rPr>
                <w:rFonts w:asciiTheme="majorHAnsi" w:hAnsiTheme="majorHAnsi" w:cstheme="majorHAnsi"/>
                <w:b/>
                <w:sz w:val="26"/>
                <w:szCs w:val="26"/>
              </w:rPr>
            </w:pPr>
            <w:r w:rsidRPr="007D3F0B">
              <w:rPr>
                <w:rFonts w:asciiTheme="majorHAnsi" w:hAnsiTheme="majorHAnsi" w:cstheme="majorHAnsi"/>
                <w:sz w:val="26"/>
                <w:szCs w:val="26"/>
              </w:rPr>
              <w:t>Phân tích và thiết kế HTTT</w:t>
            </w:r>
          </w:p>
        </w:tc>
        <w:tc>
          <w:tcPr>
            <w:tcW w:w="893"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3</w:t>
            </w:r>
          </w:p>
        </w:tc>
        <w:tc>
          <w:tcPr>
            <w:tcW w:w="891"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838"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925"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c>
          <w:tcPr>
            <w:tcW w:w="857"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r>
      <w:tr w:rsidR="007D3F0B" w:rsidRPr="007D3F0B" w:rsidTr="00B641BA">
        <w:tc>
          <w:tcPr>
            <w:tcW w:w="596" w:type="pct"/>
            <w:shd w:val="clear" w:color="auto" w:fill="auto"/>
          </w:tcPr>
          <w:p w:rsidR="007D3F0B" w:rsidRPr="007D3F0B" w:rsidRDefault="007D3F0B" w:rsidP="007D3F0B">
            <w:pPr>
              <w:spacing w:after="0"/>
              <w:rPr>
                <w:rFonts w:asciiTheme="majorHAnsi" w:hAnsiTheme="majorHAnsi" w:cstheme="majorHAnsi"/>
                <w:b/>
                <w:sz w:val="26"/>
                <w:szCs w:val="26"/>
              </w:rPr>
            </w:pPr>
            <w:r w:rsidRPr="007D3F0B">
              <w:rPr>
                <w:rFonts w:asciiTheme="majorHAnsi" w:hAnsiTheme="majorHAnsi" w:cstheme="majorHAnsi"/>
                <w:sz w:val="26"/>
                <w:szCs w:val="26"/>
              </w:rPr>
              <w:t>Công nghệ phần mềm</w:t>
            </w:r>
          </w:p>
        </w:tc>
        <w:tc>
          <w:tcPr>
            <w:tcW w:w="893"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4</w:t>
            </w:r>
          </w:p>
        </w:tc>
        <w:tc>
          <w:tcPr>
            <w:tcW w:w="891"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c>
          <w:tcPr>
            <w:tcW w:w="838"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925"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857"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p>
        </w:tc>
      </w:tr>
      <w:tr w:rsidR="007D3F0B" w:rsidRPr="007D3F0B" w:rsidTr="00B641BA">
        <w:tc>
          <w:tcPr>
            <w:tcW w:w="596" w:type="pct"/>
            <w:shd w:val="clear" w:color="auto" w:fill="auto"/>
          </w:tcPr>
          <w:p w:rsidR="007D3F0B" w:rsidRPr="007D3F0B" w:rsidRDefault="007D3F0B" w:rsidP="007D3F0B">
            <w:pPr>
              <w:spacing w:after="0"/>
              <w:rPr>
                <w:rFonts w:asciiTheme="majorHAnsi" w:hAnsiTheme="majorHAnsi" w:cstheme="majorHAnsi"/>
                <w:b/>
                <w:sz w:val="26"/>
                <w:szCs w:val="26"/>
              </w:rPr>
            </w:pPr>
            <w:r w:rsidRPr="007D3F0B">
              <w:rPr>
                <w:rFonts w:asciiTheme="majorHAnsi" w:hAnsiTheme="majorHAnsi" w:cstheme="majorHAnsi"/>
                <w:sz w:val="26"/>
                <w:szCs w:val="26"/>
              </w:rPr>
              <w:t>Tốt nghiệp</w:t>
            </w:r>
          </w:p>
        </w:tc>
        <w:tc>
          <w:tcPr>
            <w:tcW w:w="893"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5</w:t>
            </w:r>
          </w:p>
        </w:tc>
        <w:tc>
          <w:tcPr>
            <w:tcW w:w="891"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838"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925"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c>
          <w:tcPr>
            <w:tcW w:w="857" w:type="pct"/>
            <w:shd w:val="clear" w:color="auto" w:fill="auto"/>
            <w:vAlign w:val="center"/>
          </w:tcPr>
          <w:p w:rsidR="007D3F0B" w:rsidRPr="007D3F0B" w:rsidRDefault="007D3F0B" w:rsidP="007D3F0B">
            <w:pPr>
              <w:spacing w:after="0"/>
              <w:jc w:val="center"/>
              <w:rPr>
                <w:rFonts w:asciiTheme="majorHAnsi" w:hAnsiTheme="majorHAnsi" w:cstheme="majorHAnsi"/>
                <w:b/>
                <w:sz w:val="26"/>
                <w:szCs w:val="26"/>
              </w:rPr>
            </w:pPr>
            <w:r w:rsidRPr="007D3F0B">
              <w:rPr>
                <w:rFonts w:asciiTheme="majorHAnsi" w:hAnsiTheme="majorHAnsi" w:cstheme="majorHAnsi"/>
                <w:sz w:val="26"/>
                <w:szCs w:val="26"/>
              </w:rPr>
              <w:t>x</w:t>
            </w:r>
          </w:p>
        </w:tc>
      </w:tr>
    </w:tbl>
    <w:p w:rsidR="007D3F0B" w:rsidRPr="007D3F0B" w:rsidRDefault="007D3F0B" w:rsidP="007D3F0B">
      <w:pPr>
        <w:pStyle w:val="ListParagraph"/>
        <w:numPr>
          <w:ilvl w:val="0"/>
          <w:numId w:val="40"/>
        </w:numPr>
        <w:tabs>
          <w:tab w:val="left" w:pos="360"/>
        </w:tabs>
        <w:autoSpaceDE w:val="0"/>
        <w:autoSpaceDN w:val="0"/>
        <w:adjustRightInd w:val="0"/>
        <w:spacing w:after="0"/>
        <w:ind w:left="0" w:firstLine="0"/>
        <w:contextualSpacing w:val="0"/>
        <w:jc w:val="both"/>
        <w:rPr>
          <w:rFonts w:asciiTheme="majorHAnsi" w:hAnsiTheme="majorHAnsi" w:cstheme="majorHAnsi"/>
          <w:b/>
          <w:color w:val="000000"/>
          <w:sz w:val="26"/>
          <w:szCs w:val="26"/>
        </w:rPr>
      </w:pPr>
      <w:r w:rsidRPr="007D3F0B">
        <w:rPr>
          <w:rFonts w:asciiTheme="majorHAnsi" w:hAnsiTheme="majorHAnsi" w:cstheme="majorHAnsi"/>
          <w:b/>
          <w:color w:val="000000"/>
          <w:sz w:val="26"/>
          <w:szCs w:val="26"/>
        </w:rPr>
        <w:t>Một số giải pháp giáo dục, đào tạo theo mục tiêu phát triển năng lực của sinh viên Trường Cao đẳng kỹ thuật Lý Tự Trọng  TP. HCM</w:t>
      </w:r>
    </w:p>
    <w:p w:rsidR="007D3F0B" w:rsidRPr="007D3F0B" w:rsidRDefault="007D3F0B" w:rsidP="007D3F0B">
      <w:pPr>
        <w:pStyle w:val="ListParagraph"/>
        <w:autoSpaceDE w:val="0"/>
        <w:autoSpaceDN w:val="0"/>
        <w:adjustRightInd w:val="0"/>
        <w:spacing w:after="0"/>
        <w:ind w:left="0" w:firstLine="540"/>
        <w:jc w:val="both"/>
        <w:rPr>
          <w:rFonts w:asciiTheme="majorHAnsi" w:eastAsia="Times New Roman" w:hAnsiTheme="majorHAnsi" w:cstheme="majorHAnsi"/>
          <w:sz w:val="26"/>
          <w:szCs w:val="26"/>
        </w:rPr>
      </w:pPr>
      <w:r w:rsidRPr="007D3F0B">
        <w:rPr>
          <w:rFonts w:asciiTheme="majorHAnsi" w:eastAsia="Times New Roman" w:hAnsiTheme="majorHAnsi" w:cstheme="majorHAnsi"/>
          <w:sz w:val="26"/>
          <w:szCs w:val="26"/>
        </w:rPr>
        <w:t xml:space="preserve">Với mục tiêu phát triển năng lực của sinh viên theo định hướng đổi mới căn bản và toàn diện giáo dục và đào tạo và qua nghiên cứu, cần thực hiện các giải pháp     </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Thứ nhất, cần chú trọng việc định kỳ đổi mới chương trình giảng dạy có cập nhật theo chương trình tiên tiến trên thế giới, nghiên cứu biên soạn giáo trình, sách tham khảo được cập nhật kịp thời nhằm loại bỏ việc học vẹt mà phải kích thích được tư duy sáng tạo của SV, bổ sung hướng dẫn SV tự học. Mục tiêu chính là giúp HS suy nghĩ và sách giáo khoa cũng chỉ là phương tiện giúp SV kiến tạo tri thức chứ không phải là kho kiến thức. Đồng thời, sách GV cũng cần đưa ra  những gợi ý kỹ hơn về cách sử dụng phương pháp học tập tích cực, định </w:t>
      </w:r>
      <w:r w:rsidRPr="007D3F0B">
        <w:rPr>
          <w:rFonts w:asciiTheme="majorHAnsi" w:hAnsiTheme="majorHAnsi" w:cstheme="majorHAnsi"/>
          <w:sz w:val="26"/>
          <w:szCs w:val="26"/>
        </w:rPr>
        <w:lastRenderedPageBreak/>
        <w:t>hướng cho SV biết cách đặt vấn đề, biết cách huy động sực mạnh của làm việc nhóm, phân công nhóm, lãnh đạo nhóm cùng nhau giải quyết vấn đề theo nguyên tắc DHDVDA trong những chuyên đề phù hợp nhằm vận dụng kiến thức, kỹ năng đã học vào thực tiễn cuộc sống.</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Thứ hai, bồi dưỡng phương pháp học tập dự án cho SV Nhà trường bằng cách biên soạn và phổ biến những tài liệu liên quan đến việc rèn luyện tự học và kỹ thuật học tập cho SV. Ví dụ: về cách tìm kiếm thông tin có chất lượng trên mạng Internet, kỹ năng sử dụng sơ đồ tư duy để thảo luận và lập thực hiện dự án, cách lắng nghe và ghi chép phản hồi tích cực; GV chủ động tăng cường rèn luyện kỹ năng học tập hợp tác cho sinh viên từng dự án, hướng dẫn SV các biện pháp học nhóm có hiệu quả như phương pháp công não trong thảo luận nhóm, phương pháp đánh giá đồng đẳng, phương pháp biên soạn phiếu điều tra, thu thập và sử lý số liệu. Khuyến khích SV tự nghiên cứu vận dụng các phần mềm, công cụ  khảo sát trực tuyến như Google Docs, e-Survey.. </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Thứ ba,  tăng cường năng lực của GV ở trường về phương pháp dạy học tích cực nói chung và DHDVDA nói riêng bằng cách: xây dựng tài liệu bồi dưỡng PPDH cho GV tự học; tổ chức bồi dưỡng GV về DHDVDA, trong đó chú trọng phương thức bồi dưỡng theo nhu cầu giáo viên tại cơ sở, kết hợp với các cách thức khác nhau như: bồi dưỡng tập trung, tự bồi dưỡng, tổ chức cho GV thi về DHDVDA, đặt hàng cho GV nghiên cứu khoa học  về DHDVDA trong đào tạo kỹ thuật và tổ chức các buổi tọa đàm về kinh nghiệm dạy và học theo PPDVDA, xây dựng diễn đàn trên mạng về DHDVDA và trang web về DHDVDA. </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Thứ tư là tăng cường năng lực ứng dụng CNTT và truyền thông trong dạy học, tổ chức tập huấn, hướng dẫn cho GV cách sử dụng các phần mềm hỗ trợ trong việc triển khai các dự án học tập một cách hiệu quả như soạn thảo nội dung bài học trên môi trường và giao diện Moodle, kỹ năng sử dụng công cụ để quản lý lớp học trên mạng xã hội, trên eLearning; kỹ năng sử dụng thiết bị CNTT và truyền thông tùy theo đặc trưng của từng bộ môn, trình độ đối tượng và yêu cầu ứng dụng trong quá trình dạy học; </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Thứ năm là đổi mới trong đánh giá kết quả học tập của SV, kết hợp đánh giá kết quả với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7D3F0B" w:rsidRPr="007D3F0B" w:rsidRDefault="007D3F0B" w:rsidP="007D3F0B">
      <w:pPr>
        <w:spacing w:after="0"/>
        <w:ind w:firstLine="540"/>
        <w:jc w:val="both"/>
        <w:rPr>
          <w:rFonts w:asciiTheme="majorHAnsi" w:hAnsiTheme="majorHAnsi" w:cstheme="majorHAnsi"/>
          <w:b/>
          <w:sz w:val="26"/>
          <w:szCs w:val="26"/>
        </w:rPr>
      </w:pPr>
      <w:r w:rsidRPr="007D3F0B">
        <w:rPr>
          <w:rFonts w:asciiTheme="majorHAnsi" w:hAnsiTheme="majorHAnsi" w:cstheme="majorHAnsi"/>
          <w:sz w:val="26"/>
          <w:szCs w:val="26"/>
        </w:rPr>
        <w:t xml:space="preserve">Thứ sáu là tăng cường nâng cao năng lực nghiên cứu khoa học của giảng viên và sinh viên. Đổi mới nội dung và phương pháp đào tao GV sư phạm, lưu ý mang phương pháp dạy học tích cực, các kỹ thuật dạy học hiện đại để giúp GV rèn luyện phong cách học tập gắn liền với nghiên cứu khoa học. </w:t>
      </w:r>
    </w:p>
    <w:p w:rsidR="007D3F0B" w:rsidRPr="007D3F0B" w:rsidRDefault="007D3F0B" w:rsidP="007D3F0B">
      <w:pPr>
        <w:spacing w:after="0"/>
        <w:ind w:firstLine="720"/>
        <w:jc w:val="both"/>
        <w:rPr>
          <w:rFonts w:asciiTheme="majorHAnsi" w:hAnsiTheme="majorHAnsi" w:cstheme="majorHAnsi"/>
          <w:b/>
          <w:sz w:val="26"/>
          <w:szCs w:val="26"/>
        </w:rPr>
      </w:pPr>
      <w:r w:rsidRPr="007D3F0B">
        <w:rPr>
          <w:rFonts w:asciiTheme="majorHAnsi" w:hAnsiTheme="majorHAnsi" w:cstheme="majorHAnsi"/>
          <w:sz w:val="26"/>
          <w:szCs w:val="26"/>
        </w:rPr>
        <w:t xml:space="preserve">Thứ bảy là nâng cấp, tăng cường đầu tư mới trang thiết bị dạy học, phòng máy, xưởng thực hành, phòng học lý thuyết hiện đại. Từng bước cải tạo và bố trí các phòng học nhằm hỗ trợ GV thuận lợi trong việc đổi mới PPDH, SV dễ dàng hoạt động tích cực trong học tập; chú trọng mở rộng nâng tầm thư viện ngày càng tiên tiến, hiện đại ngang tầm các trường đại học quốc tế, hỗ trợ được cho GV và sinh viên nghiên cứu học tập. </w:t>
      </w:r>
    </w:p>
    <w:p w:rsidR="007D3F0B" w:rsidRPr="007D3F0B" w:rsidRDefault="007D3F0B" w:rsidP="007D3F0B">
      <w:pPr>
        <w:pStyle w:val="ListParagraph"/>
        <w:numPr>
          <w:ilvl w:val="0"/>
          <w:numId w:val="40"/>
        </w:numPr>
        <w:autoSpaceDE w:val="0"/>
        <w:autoSpaceDN w:val="0"/>
        <w:adjustRightInd w:val="0"/>
        <w:spacing w:after="0"/>
        <w:contextualSpacing w:val="0"/>
        <w:jc w:val="both"/>
        <w:rPr>
          <w:rFonts w:asciiTheme="majorHAnsi" w:hAnsiTheme="majorHAnsi" w:cstheme="majorHAnsi"/>
          <w:b/>
          <w:color w:val="000000"/>
          <w:sz w:val="26"/>
          <w:szCs w:val="26"/>
        </w:rPr>
      </w:pPr>
      <w:r w:rsidRPr="007D3F0B">
        <w:rPr>
          <w:rFonts w:asciiTheme="majorHAnsi" w:hAnsiTheme="majorHAnsi" w:cstheme="majorHAnsi"/>
          <w:b/>
          <w:color w:val="000000"/>
          <w:sz w:val="26"/>
          <w:szCs w:val="26"/>
        </w:rPr>
        <w:t>Kết luận</w:t>
      </w:r>
    </w:p>
    <w:p w:rsidR="007D3F0B" w:rsidRDefault="007D3F0B" w:rsidP="007D3F0B">
      <w:pPr>
        <w:spacing w:after="0"/>
        <w:ind w:firstLine="540"/>
        <w:jc w:val="both"/>
        <w:rPr>
          <w:rFonts w:asciiTheme="majorHAnsi" w:hAnsiTheme="majorHAnsi" w:cstheme="majorHAnsi"/>
          <w:sz w:val="26"/>
          <w:szCs w:val="26"/>
        </w:rPr>
      </w:pPr>
      <w:r w:rsidRPr="007D3F0B">
        <w:rPr>
          <w:rFonts w:asciiTheme="majorHAnsi" w:hAnsiTheme="majorHAnsi" w:cstheme="majorHAnsi"/>
          <w:sz w:val="26"/>
          <w:szCs w:val="26"/>
        </w:rPr>
        <w:t xml:space="preserve">Giáo dục và đào tạo theo mục tiêu phát triển năng lực của người học theo kinh nghiệm các nước cần được vận dụng thông qua hình thức dạy học dựa vào dự án với các giải pháp đã </w:t>
      </w:r>
      <w:r w:rsidRPr="007D3F0B">
        <w:rPr>
          <w:rFonts w:asciiTheme="majorHAnsi" w:hAnsiTheme="majorHAnsi" w:cstheme="majorHAnsi"/>
          <w:sz w:val="26"/>
          <w:szCs w:val="26"/>
        </w:rPr>
        <w:lastRenderedPageBreak/>
        <w:t>nêu trên. Bên cạnh đó, cần xây dựng và triẻn khai từng bước các dự án phát triển Nhà trường đáp ứng yêu cầu đổi mới căn bản, toàn diện giáo dục và đào tạo theo xu hướng học tập suốt đời và xã hội học tập của thế kỷ 21.</w:t>
      </w:r>
    </w:p>
    <w:p w:rsidR="007D3F0B" w:rsidRPr="007D3F0B" w:rsidRDefault="007D3F0B" w:rsidP="007D3F0B">
      <w:pPr>
        <w:spacing w:after="0"/>
        <w:ind w:firstLine="540"/>
        <w:jc w:val="both"/>
        <w:rPr>
          <w:rFonts w:asciiTheme="majorHAnsi" w:hAnsiTheme="majorHAnsi" w:cstheme="majorHAnsi"/>
          <w:b/>
          <w:sz w:val="26"/>
          <w:szCs w:val="26"/>
        </w:rPr>
      </w:pPr>
    </w:p>
    <w:p w:rsidR="007D3F0B" w:rsidRPr="007D3F0B" w:rsidRDefault="007D3F0B" w:rsidP="007D3F0B">
      <w:pPr>
        <w:autoSpaceDE w:val="0"/>
        <w:autoSpaceDN w:val="0"/>
        <w:adjustRightInd w:val="0"/>
        <w:spacing w:after="0"/>
        <w:jc w:val="center"/>
        <w:rPr>
          <w:rFonts w:asciiTheme="majorHAnsi" w:hAnsiTheme="majorHAnsi" w:cstheme="majorHAnsi"/>
          <w:b/>
          <w:color w:val="000000"/>
          <w:sz w:val="26"/>
          <w:szCs w:val="26"/>
        </w:rPr>
      </w:pPr>
      <w:r w:rsidRPr="007D3F0B">
        <w:rPr>
          <w:rFonts w:asciiTheme="majorHAnsi" w:hAnsiTheme="majorHAnsi" w:cstheme="majorHAnsi"/>
          <w:b/>
          <w:color w:val="000000"/>
          <w:sz w:val="26"/>
          <w:szCs w:val="26"/>
        </w:rPr>
        <w:t>TÀI LIỆU THAM KHẢO</w:t>
      </w:r>
    </w:p>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bookmarkStart w:id="11" w:name="_Ref391496296"/>
      <w:bookmarkStart w:id="12" w:name="_Ref393046865"/>
      <w:bookmarkStart w:id="13" w:name="_Ref354952277"/>
      <w:bookmarkStart w:id="14" w:name="_Ref357173069"/>
      <w:r w:rsidRPr="007D3F0B">
        <w:rPr>
          <w:rFonts w:asciiTheme="majorHAnsi" w:eastAsia="Times New Roman" w:hAnsiTheme="majorHAnsi" w:cstheme="majorHAnsi"/>
          <w:sz w:val="26"/>
          <w:szCs w:val="26"/>
        </w:rPr>
        <w:t>Nguyễn Lăng Bình, Đỗ Hương Trà, Ngu</w:t>
      </w:r>
      <w:r>
        <w:rPr>
          <w:rFonts w:asciiTheme="majorHAnsi" w:eastAsia="Times New Roman" w:hAnsiTheme="majorHAnsi" w:cstheme="majorHAnsi"/>
          <w:sz w:val="26"/>
          <w:szCs w:val="26"/>
        </w:rPr>
        <w:t>yễn Phương Hồng, Cao Thị Thặng</w:t>
      </w:r>
      <w:r w:rsidRPr="007D3F0B">
        <w:rPr>
          <w:rFonts w:asciiTheme="majorHAnsi" w:eastAsia="Times New Roman" w:hAnsiTheme="majorHAnsi" w:cstheme="majorHAnsi"/>
          <w:sz w:val="26"/>
          <w:szCs w:val="26"/>
        </w:rPr>
        <w:t xml:space="preserve">, </w:t>
      </w:r>
      <w:r w:rsidRPr="007D3F0B">
        <w:rPr>
          <w:rFonts w:asciiTheme="majorHAnsi" w:eastAsia="Times New Roman" w:hAnsiTheme="majorHAnsi" w:cstheme="majorHAnsi"/>
          <w:i/>
          <w:sz w:val="26"/>
          <w:szCs w:val="26"/>
        </w:rPr>
        <w:t>Dạy và học tích cực</w:t>
      </w:r>
      <w:r w:rsidRPr="007D3F0B">
        <w:rPr>
          <w:rFonts w:asciiTheme="majorHAnsi" w:eastAsia="Times New Roman" w:hAnsiTheme="majorHAnsi" w:cstheme="majorHAnsi"/>
          <w:sz w:val="26"/>
          <w:szCs w:val="26"/>
        </w:rPr>
        <w:t>, NXB Đại học Sư phạm</w:t>
      </w:r>
      <w:bookmarkEnd w:id="11"/>
      <w:bookmarkEnd w:id="12"/>
      <w:bookmarkEnd w:id="13"/>
      <w:r>
        <w:rPr>
          <w:rFonts w:asciiTheme="majorHAnsi" w:eastAsia="Times New Roman" w:hAnsiTheme="majorHAnsi" w:cstheme="majorHAnsi"/>
          <w:sz w:val="26"/>
          <w:szCs w:val="26"/>
        </w:rPr>
        <w:t xml:space="preserve">, </w:t>
      </w:r>
      <w:r w:rsidRPr="007D3F0B">
        <w:rPr>
          <w:rFonts w:asciiTheme="majorHAnsi" w:eastAsia="Times New Roman" w:hAnsiTheme="majorHAnsi" w:cstheme="majorHAnsi"/>
          <w:sz w:val="26"/>
          <w:szCs w:val="26"/>
        </w:rPr>
        <w:t>2010</w:t>
      </w:r>
    </w:p>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sidRPr="007D3F0B">
        <w:rPr>
          <w:rFonts w:asciiTheme="majorHAnsi" w:eastAsia="Times New Roman" w:hAnsiTheme="majorHAnsi" w:cstheme="majorHAnsi"/>
          <w:sz w:val="26"/>
          <w:szCs w:val="26"/>
        </w:rPr>
        <w:t xml:space="preserve">ABET Criteria   for   Accrediting   Computing   Programs, </w:t>
      </w:r>
      <w:r w:rsidRPr="007D3F0B">
        <w:rPr>
          <w:rFonts w:asciiTheme="majorHAnsi" w:eastAsia="Times New Roman" w:hAnsiTheme="majorHAnsi" w:cstheme="majorHAnsi"/>
          <w:i/>
          <w:sz w:val="26"/>
          <w:szCs w:val="26"/>
        </w:rPr>
        <w:t>Computing   Accreditation Commission of  the Accreditation  Board  of Engineering  and  T</w:t>
      </w:r>
      <w:r w:rsidRPr="007D3F0B">
        <w:rPr>
          <w:rFonts w:asciiTheme="majorHAnsi" w:eastAsia="Times New Roman" w:hAnsiTheme="majorHAnsi" w:cstheme="majorHAnsi"/>
          <w:i/>
          <w:sz w:val="26"/>
          <w:szCs w:val="26"/>
        </w:rPr>
        <w:t>echnology</w:t>
      </w:r>
      <w:r>
        <w:rPr>
          <w:rFonts w:asciiTheme="majorHAnsi" w:eastAsia="Times New Roman" w:hAnsiTheme="majorHAnsi" w:cstheme="majorHAnsi"/>
          <w:sz w:val="26"/>
          <w:szCs w:val="26"/>
        </w:rPr>
        <w:t>,  Baltimore, Maryland, 2011</w:t>
      </w:r>
    </w:p>
    <w:bookmarkEnd w:id="14"/>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sidRPr="007D3F0B">
        <w:rPr>
          <w:rFonts w:asciiTheme="majorHAnsi" w:eastAsia="Times New Roman" w:hAnsiTheme="majorHAnsi" w:cstheme="majorHAnsi"/>
          <w:sz w:val="26"/>
          <w:szCs w:val="26"/>
        </w:rPr>
        <w:t xml:space="preserve">Harris, R., Guthrie, </w:t>
      </w:r>
      <w:r>
        <w:rPr>
          <w:rFonts w:asciiTheme="majorHAnsi" w:eastAsia="Times New Roman" w:hAnsiTheme="majorHAnsi" w:cstheme="majorHAnsi"/>
          <w:sz w:val="26"/>
          <w:szCs w:val="26"/>
        </w:rPr>
        <w:t>H., Hobart, B., &amp; Lundberg, D.</w:t>
      </w:r>
      <w:r w:rsidRPr="007D3F0B">
        <w:rPr>
          <w:rFonts w:asciiTheme="majorHAnsi" w:eastAsia="Times New Roman" w:hAnsiTheme="majorHAnsi" w:cstheme="majorHAnsi"/>
          <w:sz w:val="26"/>
          <w:szCs w:val="26"/>
        </w:rPr>
        <w:t xml:space="preserve">, </w:t>
      </w:r>
      <w:r w:rsidRPr="007D3F0B">
        <w:rPr>
          <w:rFonts w:asciiTheme="majorHAnsi" w:eastAsia="Times New Roman" w:hAnsiTheme="majorHAnsi" w:cstheme="majorHAnsi"/>
          <w:i/>
          <w:sz w:val="26"/>
          <w:szCs w:val="26"/>
        </w:rPr>
        <w:t>Competency-Based Education and Training: Between a Rock and a Whirlpoo,</w:t>
      </w:r>
      <w:r w:rsidRPr="007D3F0B">
        <w:rPr>
          <w:rFonts w:asciiTheme="majorHAnsi" w:eastAsia="Times New Roman" w:hAnsiTheme="majorHAnsi" w:cstheme="majorHAnsi"/>
          <w:sz w:val="26"/>
          <w:szCs w:val="26"/>
        </w:rPr>
        <w:t>. South Melbourne: Macmil</w:t>
      </w:r>
      <w:r>
        <w:rPr>
          <w:rFonts w:asciiTheme="majorHAnsi" w:eastAsia="Times New Roman" w:hAnsiTheme="majorHAnsi" w:cstheme="majorHAnsi"/>
          <w:sz w:val="26"/>
          <w:szCs w:val="26"/>
        </w:rPr>
        <w:t xml:space="preserve">lan Education Australia, </w:t>
      </w:r>
      <w:r w:rsidRPr="007D3F0B">
        <w:rPr>
          <w:rFonts w:asciiTheme="majorHAnsi" w:eastAsia="Times New Roman" w:hAnsiTheme="majorHAnsi" w:cstheme="majorHAnsi"/>
          <w:sz w:val="26"/>
          <w:szCs w:val="26"/>
        </w:rPr>
        <w:t>1995</w:t>
      </w:r>
    </w:p>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Jones, L., &amp; Moore, R.</w:t>
      </w:r>
      <w:r w:rsidRPr="007D3F0B">
        <w:rPr>
          <w:rFonts w:asciiTheme="majorHAnsi" w:eastAsia="Times New Roman" w:hAnsiTheme="majorHAnsi" w:cstheme="majorHAnsi"/>
          <w:sz w:val="26"/>
          <w:szCs w:val="26"/>
        </w:rPr>
        <w:t xml:space="preserve">, </w:t>
      </w:r>
      <w:r w:rsidRPr="007D3F0B">
        <w:rPr>
          <w:rFonts w:asciiTheme="majorHAnsi" w:eastAsia="Times New Roman" w:hAnsiTheme="majorHAnsi" w:cstheme="majorHAnsi"/>
          <w:i/>
          <w:sz w:val="26"/>
          <w:szCs w:val="26"/>
        </w:rPr>
        <w:t>Appropriating competence,</w:t>
      </w:r>
      <w:r w:rsidRPr="007D3F0B">
        <w:rPr>
          <w:rFonts w:asciiTheme="majorHAnsi" w:eastAsia="Times New Roman" w:hAnsiTheme="majorHAnsi" w:cstheme="majorHAnsi"/>
          <w:sz w:val="26"/>
          <w:szCs w:val="26"/>
        </w:rPr>
        <w:t xml:space="preserve"> British Journal o</w:t>
      </w:r>
      <w:r>
        <w:rPr>
          <w:rFonts w:asciiTheme="majorHAnsi" w:eastAsia="Times New Roman" w:hAnsiTheme="majorHAnsi" w:cstheme="majorHAnsi"/>
          <w:sz w:val="26"/>
          <w:szCs w:val="26"/>
        </w:rPr>
        <w:t xml:space="preserve">f Education and Work, 8 (2), 78, </w:t>
      </w:r>
      <w:r w:rsidRPr="007D3F0B">
        <w:rPr>
          <w:rFonts w:asciiTheme="majorHAnsi" w:eastAsia="Times New Roman" w:hAnsiTheme="majorHAnsi" w:cstheme="majorHAnsi"/>
          <w:sz w:val="26"/>
          <w:szCs w:val="26"/>
        </w:rPr>
        <w:t>1995</w:t>
      </w:r>
    </w:p>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Kerka, S.</w:t>
      </w:r>
      <w:r w:rsidRPr="007D3F0B">
        <w:rPr>
          <w:rFonts w:asciiTheme="majorHAnsi" w:eastAsia="Times New Roman" w:hAnsiTheme="majorHAnsi" w:cstheme="majorHAnsi"/>
          <w:sz w:val="26"/>
          <w:szCs w:val="26"/>
        </w:rPr>
        <w:t>,  Competency-based education and training. ERIC Clearinghouse on</w:t>
      </w:r>
      <w:r w:rsidRPr="007D3F0B">
        <w:rPr>
          <w:rFonts w:asciiTheme="majorHAnsi" w:eastAsia="Times New Roman" w:hAnsiTheme="majorHAnsi" w:cstheme="majorHAnsi"/>
          <w:i/>
          <w:sz w:val="26"/>
          <w:szCs w:val="26"/>
        </w:rPr>
        <w:t xml:space="preserve"> Adult, Career and Vocational Education</w:t>
      </w:r>
      <w:r w:rsidRPr="007D3F0B">
        <w:rPr>
          <w:rFonts w:asciiTheme="majorHAnsi" w:eastAsia="Times New Roman" w:hAnsiTheme="majorHAnsi" w:cstheme="majorHAnsi"/>
          <w:sz w:val="26"/>
          <w:szCs w:val="26"/>
        </w:rPr>
        <w:t xml:space="preserve">, Columbus, OHIO, </w:t>
      </w:r>
      <w:hyperlink r:id="rId8" w:tooltip="http://ericacve.org/" w:history="1">
        <w:r w:rsidRPr="007D3F0B">
          <w:rPr>
            <w:rFonts w:asciiTheme="majorHAnsi" w:eastAsia="Times New Roman" w:hAnsiTheme="majorHAnsi" w:cstheme="majorHAnsi"/>
            <w:sz w:val="26"/>
            <w:szCs w:val="26"/>
          </w:rPr>
          <w:t>http://ericacve.org/</w:t>
        </w:r>
      </w:hyperlink>
      <w:r w:rsidRPr="007D3F0B">
        <w:rPr>
          <w:rFonts w:asciiTheme="majorHAnsi" w:eastAsia="Times New Roman" w:hAnsiTheme="majorHAnsi" w:cstheme="majorHAnsi"/>
          <w:sz w:val="26"/>
          <w:szCs w:val="26"/>
        </w:rPr>
        <w:t xml:space="preserve"> docgen.asp?tbl=mr&amp;ID=65</w:t>
      </w:r>
      <w:r>
        <w:rPr>
          <w:rFonts w:asciiTheme="majorHAnsi" w:eastAsia="Times New Roman" w:hAnsiTheme="majorHAnsi" w:cstheme="majorHAnsi"/>
          <w:sz w:val="26"/>
          <w:szCs w:val="26"/>
          <w:lang w:val="en-US"/>
        </w:rPr>
        <w:t xml:space="preserve">, </w:t>
      </w:r>
      <w:r w:rsidRPr="007D3F0B">
        <w:rPr>
          <w:rFonts w:asciiTheme="majorHAnsi" w:eastAsia="Times New Roman" w:hAnsiTheme="majorHAnsi" w:cstheme="majorHAnsi"/>
          <w:sz w:val="26"/>
          <w:szCs w:val="26"/>
        </w:rPr>
        <w:t>2001</w:t>
      </w:r>
    </w:p>
    <w:p w:rsidR="007D3F0B" w:rsidRPr="007D3F0B" w:rsidRDefault="007D3F0B" w:rsidP="007D3F0B">
      <w:pPr>
        <w:pStyle w:val="ListParagraph"/>
        <w:numPr>
          <w:ilvl w:val="0"/>
          <w:numId w:val="39"/>
        </w:numPr>
        <w:spacing w:after="0"/>
        <w:ind w:left="0" w:firstLine="450"/>
        <w:jc w:val="both"/>
        <w:rPr>
          <w:rFonts w:asciiTheme="majorHAnsi" w:eastAsia="Times New Roman" w:hAnsiTheme="majorHAnsi" w:cstheme="majorHAnsi"/>
          <w:sz w:val="26"/>
          <w:szCs w:val="26"/>
        </w:rPr>
      </w:pPr>
      <w:bookmarkStart w:id="15" w:name="_Ref355082111"/>
      <w:r>
        <w:rPr>
          <w:rFonts w:asciiTheme="majorHAnsi" w:eastAsia="Times New Roman" w:hAnsiTheme="majorHAnsi" w:cstheme="majorHAnsi"/>
          <w:sz w:val="26"/>
          <w:szCs w:val="26"/>
        </w:rPr>
        <w:t>Kilpatrick W. H.</w:t>
      </w:r>
      <w:r w:rsidRPr="007D3F0B">
        <w:rPr>
          <w:rFonts w:asciiTheme="majorHAnsi" w:eastAsia="Times New Roman" w:hAnsiTheme="majorHAnsi" w:cstheme="majorHAnsi"/>
          <w:sz w:val="26"/>
          <w:szCs w:val="26"/>
        </w:rPr>
        <w:t>, “The project method”, Teachers College Record 19, 319-335</w:t>
      </w:r>
      <w:bookmarkEnd w:id="15"/>
      <w:r>
        <w:rPr>
          <w:rFonts w:asciiTheme="majorHAnsi" w:eastAsia="Times New Roman" w:hAnsiTheme="majorHAnsi" w:cstheme="majorHAnsi"/>
          <w:sz w:val="26"/>
          <w:szCs w:val="26"/>
        </w:rPr>
        <w:t>,</w:t>
      </w:r>
      <w:r w:rsidRPr="007D3F0B">
        <w:rPr>
          <w:rFonts w:asciiTheme="majorHAnsi" w:eastAsia="Times New Roman" w:hAnsiTheme="majorHAnsi" w:cstheme="majorHAnsi"/>
          <w:sz w:val="26"/>
          <w:szCs w:val="26"/>
        </w:rPr>
        <w:t xml:space="preserve"> </w:t>
      </w:r>
      <w:r w:rsidRPr="007D3F0B">
        <w:rPr>
          <w:rFonts w:asciiTheme="majorHAnsi" w:eastAsia="Times New Roman" w:hAnsiTheme="majorHAnsi" w:cstheme="majorHAnsi"/>
          <w:sz w:val="26"/>
          <w:szCs w:val="26"/>
        </w:rPr>
        <w:t>1918</w:t>
      </w:r>
    </w:p>
    <w:p w:rsidR="007D3F0B" w:rsidRPr="007D3F0B" w:rsidRDefault="00F8132F"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McLagan, P. A.</w:t>
      </w:r>
      <w:r w:rsidR="007D3F0B" w:rsidRPr="007D3F0B">
        <w:rPr>
          <w:rFonts w:asciiTheme="majorHAnsi" w:eastAsia="Times New Roman" w:hAnsiTheme="majorHAnsi" w:cstheme="majorHAnsi"/>
          <w:sz w:val="26"/>
          <w:szCs w:val="26"/>
        </w:rPr>
        <w:t xml:space="preserve">, </w:t>
      </w:r>
      <w:r w:rsidR="007D3F0B" w:rsidRPr="007D3F0B">
        <w:rPr>
          <w:rFonts w:asciiTheme="majorHAnsi" w:eastAsia="Times New Roman" w:hAnsiTheme="majorHAnsi" w:cstheme="majorHAnsi"/>
          <w:i/>
          <w:sz w:val="26"/>
          <w:szCs w:val="26"/>
        </w:rPr>
        <w:t>Competencies: the next generation,</w:t>
      </w:r>
      <w:r w:rsidR="007D3F0B" w:rsidRPr="007D3F0B">
        <w:rPr>
          <w:rFonts w:asciiTheme="majorHAnsi" w:eastAsia="Times New Roman" w:hAnsiTheme="majorHAnsi" w:cstheme="majorHAnsi"/>
          <w:sz w:val="26"/>
          <w:szCs w:val="26"/>
        </w:rPr>
        <w:t xml:space="preserve"> Training</w:t>
      </w:r>
      <w:r>
        <w:rPr>
          <w:rFonts w:asciiTheme="majorHAnsi" w:eastAsia="Times New Roman" w:hAnsiTheme="majorHAnsi" w:cstheme="majorHAnsi"/>
          <w:sz w:val="26"/>
          <w:szCs w:val="26"/>
        </w:rPr>
        <w:t xml:space="preserve"> and Development, 51 (5), 40-48, </w:t>
      </w:r>
      <w:r w:rsidRPr="007D3F0B">
        <w:rPr>
          <w:rFonts w:asciiTheme="majorHAnsi" w:eastAsia="Times New Roman" w:hAnsiTheme="majorHAnsi" w:cstheme="majorHAnsi"/>
          <w:sz w:val="26"/>
          <w:szCs w:val="26"/>
        </w:rPr>
        <w:t>1997, May</w:t>
      </w:r>
    </w:p>
    <w:p w:rsidR="007D3F0B" w:rsidRPr="007D3F0B" w:rsidRDefault="00F8132F" w:rsidP="007D3F0B">
      <w:pPr>
        <w:pStyle w:val="ListParagraph"/>
        <w:numPr>
          <w:ilvl w:val="0"/>
          <w:numId w:val="39"/>
        </w:numPr>
        <w:spacing w:after="0"/>
        <w:ind w:left="0" w:firstLine="450"/>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Paprock, K. E.</w:t>
      </w:r>
      <w:r w:rsidR="007D3F0B" w:rsidRPr="007D3F0B">
        <w:rPr>
          <w:rFonts w:asciiTheme="majorHAnsi" w:eastAsia="Times New Roman" w:hAnsiTheme="majorHAnsi" w:cstheme="majorHAnsi"/>
          <w:sz w:val="26"/>
          <w:szCs w:val="26"/>
        </w:rPr>
        <w:t xml:space="preserve">, </w:t>
      </w:r>
      <w:r w:rsidR="007D3F0B" w:rsidRPr="00F8132F">
        <w:rPr>
          <w:rFonts w:asciiTheme="majorHAnsi" w:eastAsia="Times New Roman" w:hAnsiTheme="majorHAnsi" w:cstheme="majorHAnsi"/>
          <w:i/>
          <w:sz w:val="26"/>
          <w:szCs w:val="26"/>
        </w:rPr>
        <w:t>Conceptual structure to develop adaptive competencies in professiona</w:t>
      </w:r>
      <w:r w:rsidRPr="00F8132F">
        <w:rPr>
          <w:rFonts w:asciiTheme="majorHAnsi" w:eastAsia="Times New Roman" w:hAnsiTheme="majorHAnsi" w:cstheme="majorHAnsi"/>
          <w:i/>
          <w:sz w:val="26"/>
          <w:szCs w:val="26"/>
          <w:lang w:val="en-US"/>
        </w:rPr>
        <w:t>l</w:t>
      </w:r>
      <w:r w:rsidR="007D3F0B" w:rsidRPr="007D3F0B">
        <w:rPr>
          <w:rFonts w:asciiTheme="majorHAnsi" w:eastAsia="Times New Roman" w:hAnsiTheme="majorHAnsi" w:cstheme="majorHAnsi"/>
          <w:sz w:val="26"/>
          <w:szCs w:val="26"/>
        </w:rPr>
        <w:t>,</w:t>
      </w:r>
      <w:r>
        <w:rPr>
          <w:rFonts w:asciiTheme="majorHAnsi" w:eastAsia="Times New Roman" w:hAnsiTheme="majorHAnsi" w:cstheme="majorHAnsi"/>
          <w:sz w:val="26"/>
          <w:szCs w:val="26"/>
        </w:rPr>
        <w:t xml:space="preserve"> </w:t>
      </w:r>
      <w:r w:rsidR="007D3F0B" w:rsidRPr="007D3F0B">
        <w:rPr>
          <w:rFonts w:asciiTheme="majorHAnsi" w:eastAsia="Times New Roman" w:hAnsiTheme="majorHAnsi" w:cstheme="majorHAnsi"/>
          <w:sz w:val="26"/>
          <w:szCs w:val="26"/>
        </w:rPr>
        <w:t>IPN Ciencia, Arte: Cul</w:t>
      </w:r>
      <w:r>
        <w:rPr>
          <w:rFonts w:asciiTheme="majorHAnsi" w:eastAsia="Times New Roman" w:hAnsiTheme="majorHAnsi" w:cstheme="majorHAnsi"/>
          <w:sz w:val="26"/>
          <w:szCs w:val="26"/>
        </w:rPr>
        <w:t>tura, Nueva Epoca, 2 (8), 22-25,</w:t>
      </w:r>
      <w:r w:rsidRPr="00F8132F">
        <w:rPr>
          <w:rFonts w:asciiTheme="majorHAnsi" w:eastAsia="Times New Roman" w:hAnsiTheme="majorHAnsi" w:cstheme="majorHAnsi"/>
          <w:sz w:val="26"/>
          <w:szCs w:val="26"/>
        </w:rPr>
        <w:t xml:space="preserve"> </w:t>
      </w:r>
      <w:r w:rsidRPr="007D3F0B">
        <w:rPr>
          <w:rFonts w:asciiTheme="majorHAnsi" w:eastAsia="Times New Roman" w:hAnsiTheme="majorHAnsi" w:cstheme="majorHAnsi"/>
          <w:sz w:val="26"/>
          <w:szCs w:val="26"/>
        </w:rPr>
        <w:t>1996, July-August</w:t>
      </w:r>
    </w:p>
    <w:p w:rsidR="007D3F0B" w:rsidRDefault="00F8132F" w:rsidP="007D3F0B">
      <w:pPr>
        <w:pStyle w:val="ListParagraph"/>
        <w:numPr>
          <w:ilvl w:val="0"/>
          <w:numId w:val="39"/>
        </w:numPr>
        <w:spacing w:after="0"/>
        <w:ind w:left="0" w:firstLine="450"/>
        <w:jc w:val="both"/>
        <w:rPr>
          <w:rFonts w:asciiTheme="majorHAnsi" w:eastAsia="Times New Roman" w:hAnsiTheme="majorHAnsi" w:cstheme="majorHAnsi"/>
          <w:sz w:val="26"/>
          <w:szCs w:val="26"/>
        </w:rPr>
      </w:pPr>
      <w:bookmarkStart w:id="16" w:name="_Ref391496029"/>
      <w:r>
        <w:rPr>
          <w:rFonts w:asciiTheme="majorHAnsi" w:eastAsia="Times New Roman" w:hAnsiTheme="majorHAnsi" w:cstheme="majorHAnsi"/>
          <w:sz w:val="26"/>
          <w:szCs w:val="26"/>
        </w:rPr>
        <w:t xml:space="preserve">Thom Markham, </w:t>
      </w:r>
      <w:r w:rsidR="007D3F0B" w:rsidRPr="00F8132F">
        <w:rPr>
          <w:rFonts w:asciiTheme="majorHAnsi" w:eastAsia="Times New Roman" w:hAnsiTheme="majorHAnsi" w:cstheme="majorHAnsi"/>
          <w:i/>
          <w:sz w:val="26"/>
          <w:szCs w:val="26"/>
        </w:rPr>
        <w:t>Project Based Learning Design and Coaching Guide</w:t>
      </w:r>
      <w:bookmarkEnd w:id="16"/>
      <w:r w:rsidR="007D3F0B" w:rsidRPr="00F8132F">
        <w:rPr>
          <w:rFonts w:asciiTheme="majorHAnsi" w:eastAsia="Times New Roman" w:hAnsiTheme="majorHAnsi" w:cstheme="majorHAnsi"/>
          <w:i/>
          <w:sz w:val="26"/>
          <w:szCs w:val="26"/>
        </w:rPr>
        <w:t>Heart IQ Press</w:t>
      </w:r>
      <w:r w:rsidR="007D3F0B" w:rsidRPr="007D3F0B">
        <w:rPr>
          <w:rFonts w:asciiTheme="majorHAnsi" w:eastAsia="Times New Roman" w:hAnsiTheme="majorHAnsi" w:cstheme="majorHAnsi"/>
          <w:sz w:val="26"/>
          <w:szCs w:val="26"/>
        </w:rPr>
        <w:t>, San Rafael California</w:t>
      </w:r>
      <w:r>
        <w:rPr>
          <w:rFonts w:asciiTheme="majorHAnsi" w:eastAsia="Times New Roman" w:hAnsiTheme="majorHAnsi" w:cstheme="majorHAnsi"/>
          <w:sz w:val="26"/>
          <w:szCs w:val="26"/>
          <w:lang w:val="en-US"/>
        </w:rPr>
        <w:t xml:space="preserve">, </w:t>
      </w:r>
      <w:r w:rsidRPr="007D3F0B">
        <w:rPr>
          <w:rFonts w:asciiTheme="majorHAnsi" w:eastAsia="Times New Roman" w:hAnsiTheme="majorHAnsi" w:cstheme="majorHAnsi"/>
          <w:sz w:val="26"/>
          <w:szCs w:val="26"/>
        </w:rPr>
        <w:t>2012</w:t>
      </w:r>
    </w:p>
    <w:p w:rsidR="007D3F0B" w:rsidRPr="007D3F0B" w:rsidRDefault="007D3F0B" w:rsidP="007D3F0B">
      <w:pPr>
        <w:pStyle w:val="ListParagraph"/>
        <w:numPr>
          <w:ilvl w:val="0"/>
          <w:numId w:val="39"/>
        </w:numPr>
        <w:tabs>
          <w:tab w:val="left" w:pos="900"/>
        </w:tabs>
        <w:spacing w:after="0"/>
        <w:ind w:left="0" w:firstLine="450"/>
        <w:jc w:val="both"/>
        <w:rPr>
          <w:rFonts w:asciiTheme="majorHAnsi" w:eastAsia="Times New Roman" w:hAnsiTheme="majorHAnsi" w:cstheme="majorHAnsi"/>
          <w:sz w:val="26"/>
          <w:szCs w:val="26"/>
        </w:rPr>
      </w:pPr>
      <w:r w:rsidRPr="007D3F0B">
        <w:rPr>
          <w:rFonts w:asciiTheme="majorHAnsi" w:eastAsia="Times New Roman" w:hAnsiTheme="majorHAnsi" w:cstheme="majorHAnsi"/>
          <w:sz w:val="26"/>
          <w:szCs w:val="26"/>
        </w:rPr>
        <w:t>www.cdio.org</w:t>
      </w:r>
    </w:p>
    <w:p w:rsidR="00EE273E" w:rsidRPr="007D3F0B" w:rsidRDefault="00EE273E" w:rsidP="007D3F0B">
      <w:pPr>
        <w:spacing w:after="0"/>
        <w:jc w:val="both"/>
        <w:rPr>
          <w:rFonts w:asciiTheme="majorHAnsi" w:hAnsiTheme="majorHAnsi" w:cstheme="majorHAnsi"/>
          <w:sz w:val="26"/>
          <w:szCs w:val="26"/>
        </w:rPr>
      </w:pPr>
    </w:p>
    <w:sectPr w:rsidR="00EE273E" w:rsidRPr="007D3F0B" w:rsidSect="00AD4FFA">
      <w:headerReference w:type="default" r:id="rId9"/>
      <w:footerReference w:type="default" r:id="rId10"/>
      <w:pgSz w:w="11906" w:h="16838"/>
      <w:pgMar w:top="993" w:right="746" w:bottom="630" w:left="1418" w:header="680" w:footer="1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DC7" w:rsidRDefault="00C60DC7" w:rsidP="00757B11">
      <w:pPr>
        <w:spacing w:after="0" w:line="240" w:lineRule="auto"/>
      </w:pPr>
      <w:r>
        <w:separator/>
      </w:r>
    </w:p>
  </w:endnote>
  <w:endnote w:type="continuationSeparator" w:id="0">
    <w:p w:rsidR="00C60DC7" w:rsidRDefault="00C60DC7"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29280"/>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FD5999">
          <w:rPr>
            <w:noProof/>
          </w:rPr>
          <w:t>8</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DC7" w:rsidRDefault="00C60DC7" w:rsidP="00757B11">
      <w:pPr>
        <w:spacing w:after="0" w:line="240" w:lineRule="auto"/>
      </w:pPr>
      <w:r>
        <w:separator/>
      </w:r>
    </w:p>
  </w:footnote>
  <w:footnote w:type="continuationSeparator" w:id="0">
    <w:p w:rsidR="00C60DC7" w:rsidRDefault="00C60DC7"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1166239778"/>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8F51F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w:t>
        </w:r>
        <w:r w:rsidR="008E0F28">
          <w:rPr>
            <w:rFonts w:asciiTheme="majorHAnsi" w:eastAsiaTheme="majorEastAsia" w:hAnsiTheme="majorHAnsi" w:cstheme="majorBidi"/>
            <w:b/>
            <w:i/>
            <w:lang w:val="en-US"/>
          </w:rPr>
          <w:t>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249F5"/>
    <w:multiLevelType w:val="hybridMultilevel"/>
    <w:tmpl w:val="A9A81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87A"/>
    <w:multiLevelType w:val="hybridMultilevel"/>
    <w:tmpl w:val="9C02947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4">
    <w:nsid w:val="2FDA7E9F"/>
    <w:multiLevelType w:val="hybridMultilevel"/>
    <w:tmpl w:val="53D0C2F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F96382"/>
    <w:multiLevelType w:val="hybridMultilevel"/>
    <w:tmpl w:val="94A870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41C4185"/>
    <w:multiLevelType w:val="multilevel"/>
    <w:tmpl w:val="04580818"/>
    <w:lvl w:ilvl="0">
      <w:start w:val="1"/>
      <w:numFmt w:val="decimal"/>
      <w:lvlText w:val="%1."/>
      <w:lvlJc w:val="left"/>
      <w:pPr>
        <w:ind w:left="360" w:hanging="360"/>
      </w:pPr>
      <w:rPr>
        <w:b/>
      </w:r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3F70BE"/>
    <w:multiLevelType w:val="hybridMultilevel"/>
    <w:tmpl w:val="F1DC080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95F2700"/>
    <w:multiLevelType w:val="hybridMultilevel"/>
    <w:tmpl w:val="A6C8E46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49133A"/>
    <w:multiLevelType w:val="hybridMultilevel"/>
    <w:tmpl w:val="529EE0B2"/>
    <w:lvl w:ilvl="0" w:tplc="781086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47280A01"/>
    <w:multiLevelType w:val="multilevel"/>
    <w:tmpl w:val="E152901A"/>
    <w:lvl w:ilvl="0">
      <w:start w:val="1"/>
      <w:numFmt w:val="decimal"/>
      <w:lvlText w:val="%1."/>
      <w:lvlJc w:val="left"/>
      <w:pPr>
        <w:tabs>
          <w:tab w:val="num" w:pos="900"/>
        </w:tabs>
        <w:ind w:left="900" w:hanging="360"/>
      </w:pPr>
      <w:rPr>
        <w:b w:val="0"/>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26">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FB51A4"/>
    <w:multiLevelType w:val="multilevel"/>
    <w:tmpl w:val="A05A2A5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862CC2"/>
    <w:multiLevelType w:val="hybridMultilevel"/>
    <w:tmpl w:val="BE844C3A"/>
    <w:lvl w:ilvl="0" w:tplc="3ECA26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7B5F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996097"/>
    <w:multiLevelType w:val="hybridMultilevel"/>
    <w:tmpl w:val="B470B27E"/>
    <w:lvl w:ilvl="0" w:tplc="74B47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3"/>
  </w:num>
  <w:num w:numId="4">
    <w:abstractNumId w:val="38"/>
  </w:num>
  <w:num w:numId="5">
    <w:abstractNumId w:val="18"/>
  </w:num>
  <w:num w:numId="6">
    <w:abstractNumId w:val="32"/>
  </w:num>
  <w:num w:numId="7">
    <w:abstractNumId w:val="24"/>
  </w:num>
  <w:num w:numId="8">
    <w:abstractNumId w:val="21"/>
  </w:num>
  <w:num w:numId="9">
    <w:abstractNumId w:val="12"/>
  </w:num>
  <w:num w:numId="10">
    <w:abstractNumId w:val="37"/>
  </w:num>
  <w:num w:numId="11">
    <w:abstractNumId w:val="35"/>
  </w:num>
  <w:num w:numId="12">
    <w:abstractNumId w:val="31"/>
  </w:num>
  <w:num w:numId="13">
    <w:abstractNumId w:val="2"/>
  </w:num>
  <w:num w:numId="14">
    <w:abstractNumId w:val="11"/>
  </w:num>
  <w:num w:numId="15">
    <w:abstractNumId w:val="9"/>
  </w:num>
  <w:num w:numId="16">
    <w:abstractNumId w:val="28"/>
  </w:num>
  <w:num w:numId="17">
    <w:abstractNumId w:val="39"/>
  </w:num>
  <w:num w:numId="18">
    <w:abstractNumId w:val="34"/>
  </w:num>
  <w:num w:numId="19">
    <w:abstractNumId w:val="1"/>
  </w:num>
  <w:num w:numId="20">
    <w:abstractNumId w:val="10"/>
  </w:num>
  <w:num w:numId="21">
    <w:abstractNumId w:val="3"/>
  </w:num>
  <w:num w:numId="22">
    <w:abstractNumId w:val="26"/>
  </w:num>
  <w:num w:numId="23">
    <w:abstractNumId w:val="6"/>
  </w:num>
  <w:num w:numId="24">
    <w:abstractNumId w:val="4"/>
  </w:num>
  <w:num w:numId="25">
    <w:abstractNumId w:val="7"/>
  </w:num>
  <w:num w:numId="26">
    <w:abstractNumId w:val="40"/>
  </w:num>
  <w:num w:numId="27">
    <w:abstractNumId w:val="29"/>
  </w:num>
  <w:num w:numId="28">
    <w:abstractNumId w:val="30"/>
  </w:num>
  <w:num w:numId="29">
    <w:abstractNumId w:val="0"/>
  </w:num>
  <w:num w:numId="30">
    <w:abstractNumId w:val="14"/>
  </w:num>
  <w:num w:numId="31">
    <w:abstractNumId w:val="8"/>
  </w:num>
  <w:num w:numId="32">
    <w:abstractNumId w:val="20"/>
  </w:num>
  <w:num w:numId="33">
    <w:abstractNumId w:val="23"/>
  </w:num>
  <w:num w:numId="34">
    <w:abstractNumId w:val="36"/>
  </w:num>
  <w:num w:numId="35">
    <w:abstractNumId w:val="15"/>
  </w:num>
  <w:num w:numId="36">
    <w:abstractNumId w:val="33"/>
  </w:num>
  <w:num w:numId="37">
    <w:abstractNumId w:val="27"/>
  </w:num>
  <w:num w:numId="38">
    <w:abstractNumId w:val="25"/>
  </w:num>
  <w:num w:numId="39">
    <w:abstractNumId w:val="22"/>
  </w:num>
  <w:num w:numId="40">
    <w:abstractNumId w:val="17"/>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24018"/>
    <w:rsid w:val="0003536F"/>
    <w:rsid w:val="00047558"/>
    <w:rsid w:val="00050AA9"/>
    <w:rsid w:val="000715A5"/>
    <w:rsid w:val="0007261D"/>
    <w:rsid w:val="000801DC"/>
    <w:rsid w:val="0008231D"/>
    <w:rsid w:val="0008799A"/>
    <w:rsid w:val="000B582D"/>
    <w:rsid w:val="000B657D"/>
    <w:rsid w:val="000C44FC"/>
    <w:rsid w:val="000E3DA1"/>
    <w:rsid w:val="000F1D30"/>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0F9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343B2"/>
    <w:rsid w:val="003409D3"/>
    <w:rsid w:val="0034679C"/>
    <w:rsid w:val="003502B2"/>
    <w:rsid w:val="003568F6"/>
    <w:rsid w:val="00362D52"/>
    <w:rsid w:val="003654AE"/>
    <w:rsid w:val="00370CE6"/>
    <w:rsid w:val="00373F5C"/>
    <w:rsid w:val="003843FC"/>
    <w:rsid w:val="00385D40"/>
    <w:rsid w:val="003862E5"/>
    <w:rsid w:val="00391FE7"/>
    <w:rsid w:val="0039450C"/>
    <w:rsid w:val="003954FC"/>
    <w:rsid w:val="00396B3D"/>
    <w:rsid w:val="003A15AA"/>
    <w:rsid w:val="003A1776"/>
    <w:rsid w:val="003A4772"/>
    <w:rsid w:val="003A6669"/>
    <w:rsid w:val="003B1905"/>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70D48"/>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D3F0B"/>
    <w:rsid w:val="007E1252"/>
    <w:rsid w:val="007E1909"/>
    <w:rsid w:val="007E2017"/>
    <w:rsid w:val="008011AC"/>
    <w:rsid w:val="00801967"/>
    <w:rsid w:val="00802047"/>
    <w:rsid w:val="00804ECE"/>
    <w:rsid w:val="008135DE"/>
    <w:rsid w:val="00821C2E"/>
    <w:rsid w:val="008230EF"/>
    <w:rsid w:val="00832692"/>
    <w:rsid w:val="008343AA"/>
    <w:rsid w:val="008363DF"/>
    <w:rsid w:val="0083704A"/>
    <w:rsid w:val="0084166E"/>
    <w:rsid w:val="00842467"/>
    <w:rsid w:val="00845B29"/>
    <w:rsid w:val="008820D5"/>
    <w:rsid w:val="008930B6"/>
    <w:rsid w:val="008A078F"/>
    <w:rsid w:val="008A53E5"/>
    <w:rsid w:val="008B6357"/>
    <w:rsid w:val="008C061A"/>
    <w:rsid w:val="008D0D48"/>
    <w:rsid w:val="008E0F28"/>
    <w:rsid w:val="008E6AEF"/>
    <w:rsid w:val="008E7045"/>
    <w:rsid w:val="008F51FD"/>
    <w:rsid w:val="00901169"/>
    <w:rsid w:val="00933523"/>
    <w:rsid w:val="00965883"/>
    <w:rsid w:val="009658E7"/>
    <w:rsid w:val="00977A5D"/>
    <w:rsid w:val="00991DE0"/>
    <w:rsid w:val="00991E44"/>
    <w:rsid w:val="009A3DE7"/>
    <w:rsid w:val="009A54D1"/>
    <w:rsid w:val="009C1F10"/>
    <w:rsid w:val="009C54B8"/>
    <w:rsid w:val="009D1808"/>
    <w:rsid w:val="009D2865"/>
    <w:rsid w:val="009D5D69"/>
    <w:rsid w:val="009D722B"/>
    <w:rsid w:val="00A13FA7"/>
    <w:rsid w:val="00A2324D"/>
    <w:rsid w:val="00A25719"/>
    <w:rsid w:val="00A36147"/>
    <w:rsid w:val="00A440C7"/>
    <w:rsid w:val="00A52C8F"/>
    <w:rsid w:val="00A53FE8"/>
    <w:rsid w:val="00A60F32"/>
    <w:rsid w:val="00A62355"/>
    <w:rsid w:val="00A656D4"/>
    <w:rsid w:val="00A65EEE"/>
    <w:rsid w:val="00A814E9"/>
    <w:rsid w:val="00A9222F"/>
    <w:rsid w:val="00A9707B"/>
    <w:rsid w:val="00AA16F1"/>
    <w:rsid w:val="00AA28E4"/>
    <w:rsid w:val="00AA2FCA"/>
    <w:rsid w:val="00AB67F3"/>
    <w:rsid w:val="00AC3A81"/>
    <w:rsid w:val="00AC6F3B"/>
    <w:rsid w:val="00AC7B46"/>
    <w:rsid w:val="00AD4FFA"/>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60DC7"/>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229BD"/>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3CCD"/>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29EB"/>
    <w:rsid w:val="00E840DD"/>
    <w:rsid w:val="00E84709"/>
    <w:rsid w:val="00E92385"/>
    <w:rsid w:val="00EA76D0"/>
    <w:rsid w:val="00EB4506"/>
    <w:rsid w:val="00EC3A73"/>
    <w:rsid w:val="00EC6AE2"/>
    <w:rsid w:val="00EC72A4"/>
    <w:rsid w:val="00EC75A7"/>
    <w:rsid w:val="00EC7D6E"/>
    <w:rsid w:val="00ED5A9F"/>
    <w:rsid w:val="00ED5E3E"/>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132F"/>
    <w:rsid w:val="00F864BE"/>
    <w:rsid w:val="00FA0010"/>
    <w:rsid w:val="00FA4F41"/>
    <w:rsid w:val="00FA65B7"/>
    <w:rsid w:val="00FB541F"/>
    <w:rsid w:val="00FB570A"/>
    <w:rsid w:val="00FB6B40"/>
    <w:rsid w:val="00FD5999"/>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7D3F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customStyle="1" w:styleId="pbody">
    <w:name w:val="pbody"/>
    <w:basedOn w:val="Normal"/>
    <w:rsid w:val="00391FE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semiHidden/>
    <w:rsid w:val="007D3F0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ricacv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22208"/>
    <w:rsid w:val="005F02A4"/>
    <w:rsid w:val="005F088F"/>
    <w:rsid w:val="00635E0C"/>
    <w:rsid w:val="006922BB"/>
    <w:rsid w:val="006E0142"/>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CC020-CAF3-4F9F-99AB-26C85675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3280</Words>
  <Characters>18702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21939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6</cp:revision>
  <cp:lastPrinted>2014-05-06T08:21:00Z</cp:lastPrinted>
  <dcterms:created xsi:type="dcterms:W3CDTF">2015-05-24T16:43:00Z</dcterms:created>
  <dcterms:modified xsi:type="dcterms:W3CDTF">2015-05-24T16:56:00Z</dcterms:modified>
</cp:coreProperties>
</file>